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color w:val="000000" w:themeColor="text1"/>
          <w14:textFill>
            <w14:solidFill>
              <w14:schemeClr w14:val="tx1"/>
            </w14:solidFill>
          </w14:textFill>
        </w:rPr>
      </w:pPr>
      <w:bookmarkStart w:id="0" w:name="_Hlk57883707"/>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p>
      <w:pPr>
        <w:rPr>
          <w:rFonts w:ascii="仿宋_GB2312" w:hAnsi="仿宋_GB2312" w:eastAsia="仿宋_GB2312" w:cs="仿宋_GB2312"/>
          <w:color w:val="000000" w:themeColor="text1"/>
          <w:sz w:val="36"/>
          <w:szCs w:val="36"/>
          <w14:textFill>
            <w14:solidFill>
              <w14:schemeClr w14:val="tx1"/>
            </w14:solidFill>
          </w14:textFill>
        </w:rPr>
      </w:pPr>
    </w:p>
    <w:bookmarkEnd w:id="0"/>
    <w:p>
      <w:pPr>
        <w:adjustRightInd w:val="0"/>
        <w:snapToGrid w:val="0"/>
        <w:jc w:val="center"/>
        <w:outlineLvl w:val="9"/>
        <w:rPr>
          <w:rFonts w:hint="eastAsia" w:ascii="方正小标宋_GBK" w:eastAsia="方正小标宋_GBK"/>
          <w:bCs/>
          <w:color w:val="000000" w:themeColor="text1"/>
          <w:sz w:val="72"/>
          <w:szCs w:val="72"/>
          <w14:textFill>
            <w14:solidFill>
              <w14:schemeClr w14:val="tx1"/>
            </w14:solidFill>
          </w14:textFill>
        </w:rPr>
      </w:pPr>
      <w:r>
        <w:rPr>
          <w:rFonts w:hint="eastAsia" w:ascii="宋体" w:hAnsi="宋体" w:eastAsia="宋体" w:cs="宋体"/>
          <w:b/>
          <w:bCs w:val="0"/>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eastAsia" w:ascii="楷体_GB2312" w:eastAsia="楷体_GB2312"/>
          <w:bCs/>
          <w:color w:val="000000" w:themeColor="text1"/>
          <w:sz w:val="48"/>
          <w:szCs w:val="48"/>
          <w14:textFill>
            <w14:solidFill>
              <w14:schemeClr w14:val="tx1"/>
            </w14:solidFill>
          </w14:textFill>
        </w:rPr>
      </w:pPr>
      <w:r>
        <w:rPr>
          <w:rFonts w:hint="eastAsia" w:ascii="宋体" w:hAnsi="宋体" w:eastAsia="宋体" w:cs="宋体"/>
          <w:b/>
          <w:bCs w:val="0"/>
          <w:color w:val="000000" w:themeColor="text1"/>
          <w:sz w:val="44"/>
          <w:szCs w:val="44"/>
          <w14:textFill>
            <w14:solidFill>
              <w14:schemeClr w14:val="tx1"/>
            </w14:solidFill>
          </w14:textFill>
        </w:rPr>
        <w:t>（生态影响类）</w:t>
      </w:r>
    </w:p>
    <w:p>
      <w:pPr>
        <w:adjustRightInd w:val="0"/>
        <w:snapToGrid w:val="0"/>
        <w:spacing w:before="192" w:beforeLines="80"/>
        <w:jc w:val="center"/>
        <w:rPr>
          <w:rFonts w:hint="eastAsia" w:ascii="宋体" w:hAnsi="宋体" w:eastAsia="宋体" w:cs="宋体"/>
          <w:b/>
          <w:bCs w:val="0"/>
          <w:color w:val="000000" w:themeColor="text1"/>
          <w:sz w:val="44"/>
          <w:szCs w:val="44"/>
          <w:lang w:eastAsia="zh-CN"/>
          <w14:textFill>
            <w14:solidFill>
              <w14:schemeClr w14:val="tx1"/>
            </w14:solidFill>
          </w14:textFill>
        </w:rPr>
      </w:pPr>
      <w:bookmarkStart w:id="1" w:name="_Hlk57883728"/>
      <w:r>
        <w:rPr>
          <w:rFonts w:hint="eastAsia" w:ascii="宋体" w:hAnsi="宋体" w:eastAsia="宋体" w:cs="宋体"/>
          <w:b/>
          <w:bCs w:val="0"/>
          <w:color w:val="000000" w:themeColor="text1"/>
          <w:sz w:val="44"/>
          <w:szCs w:val="44"/>
          <w:lang w:eastAsia="zh-CN"/>
          <w14:textFill>
            <w14:solidFill>
              <w14:schemeClr w14:val="tx1"/>
            </w14:solidFill>
          </w14:textFill>
        </w:rPr>
        <w:t>（</w:t>
      </w:r>
      <w:r>
        <w:rPr>
          <w:rFonts w:hint="eastAsia" w:ascii="宋体" w:hAnsi="宋体" w:cs="宋体"/>
          <w:b/>
          <w:bCs w:val="0"/>
          <w:color w:val="000000" w:themeColor="text1"/>
          <w:sz w:val="44"/>
          <w:szCs w:val="44"/>
          <w:lang w:val="en-US" w:eastAsia="zh-CN"/>
          <w14:textFill>
            <w14:solidFill>
              <w14:schemeClr w14:val="tx1"/>
            </w14:solidFill>
          </w14:textFill>
        </w:rPr>
        <w:t>送审稿</w:t>
      </w:r>
      <w:r>
        <w:rPr>
          <w:rFonts w:hint="eastAsia" w:ascii="宋体" w:hAnsi="宋体" w:eastAsia="宋体" w:cs="宋体"/>
          <w:b/>
          <w:bCs w:val="0"/>
          <w:color w:val="000000" w:themeColor="text1"/>
          <w:sz w:val="44"/>
          <w:szCs w:val="44"/>
          <w:lang w:eastAsia="zh-CN"/>
          <w14:textFill>
            <w14:solidFill>
              <w14:schemeClr w14:val="tx1"/>
            </w14:solidFill>
          </w14:textFill>
        </w:rPr>
        <w:t>）</w:t>
      </w: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bookmarkEnd w:id="1"/>
    <w:p>
      <w:pPr>
        <w:adjustRightInd w:val="0"/>
        <w:snapToGrid w:val="0"/>
        <w:spacing w:line="288" w:lineRule="auto"/>
        <w:ind w:left="2683" w:leftChars="513" w:hanging="1606" w:hangingChars="500"/>
        <w:jc w:val="left"/>
        <w:rPr>
          <w:rFonts w:hint="eastAsia" w:ascii="宋体" w:hAnsi="宋体" w:eastAsia="宋体" w:cs="宋体"/>
          <w:b/>
          <w:bCs/>
          <w:color w:val="000000" w:themeColor="text1"/>
          <w:spacing w:val="0"/>
          <w:sz w:val="32"/>
          <w:szCs w:val="32"/>
          <w:u w:val="single"/>
          <w14:textFill>
            <w14:solidFill>
              <w14:schemeClr w14:val="tx1"/>
            </w14:solidFill>
          </w14:textFill>
        </w:rPr>
      </w:pPr>
      <w:r>
        <w:rPr>
          <w:rFonts w:hint="eastAsia" w:ascii="宋体" w:hAnsi="宋体" w:eastAsia="宋体" w:cs="宋体"/>
          <w:b/>
          <w:bCs/>
          <w:color w:val="000000" w:themeColor="text1"/>
          <w:spacing w:val="0"/>
          <w:sz w:val="32"/>
          <w:szCs w:val="32"/>
          <w14:textFill>
            <w14:solidFill>
              <w14:schemeClr w14:val="tx1"/>
            </w14:solidFill>
          </w14:textFill>
        </w:rPr>
        <w:t>项目名称</w:t>
      </w:r>
      <w:r>
        <w:rPr>
          <w:rFonts w:hint="eastAsia" w:ascii="宋体" w:hAnsi="宋体" w:eastAsia="宋体" w:cs="宋体"/>
          <w:b/>
          <w:bCs/>
          <w:color w:val="000000" w:themeColor="text1"/>
          <w:spacing w:val="0"/>
          <w:sz w:val="32"/>
          <w:szCs w:val="32"/>
          <w:lang w:eastAsia="zh-CN"/>
          <w14:textFill>
            <w14:solidFill>
              <w14:schemeClr w14:val="tx1"/>
            </w14:solidFill>
          </w14:textFill>
        </w:rPr>
        <w:t>：</w:t>
      </w:r>
      <w:r>
        <w:rPr>
          <w:rFonts w:hint="eastAsia" w:ascii="宋体" w:hAnsi="宋体" w:eastAsia="宋体" w:cs="宋体"/>
          <w:b/>
          <w:bCs/>
          <w:color w:val="000000" w:themeColor="text1"/>
          <w:spacing w:val="0"/>
          <w:sz w:val="32"/>
          <w:szCs w:val="32"/>
          <w:u w:val="single"/>
          <w:lang w:val="en-US" w:eastAsia="zh-CN"/>
          <w14:textFill>
            <w14:solidFill>
              <w14:schemeClr w14:val="tx1"/>
            </w14:solidFill>
          </w14:textFill>
        </w:rPr>
        <w:t xml:space="preserve">“千乡万村驭风行动”莲峰村项目                                   </w:t>
      </w:r>
      <w:r>
        <w:rPr>
          <w:rFonts w:hint="eastAsia" w:ascii="宋体" w:hAnsi="宋体" w:eastAsia="宋体" w:cs="宋体"/>
          <w:b/>
          <w:bCs/>
          <w:color w:val="000000" w:themeColor="text1"/>
          <w:spacing w:val="0"/>
          <w:sz w:val="32"/>
          <w:szCs w:val="32"/>
          <w:u w:val="single"/>
          <w14:textFill>
            <w14:solidFill>
              <w14:schemeClr w14:val="tx1"/>
            </w14:solidFill>
          </w14:textFill>
        </w:rPr>
        <w:t xml:space="preserve"> </w:t>
      </w:r>
    </w:p>
    <w:p>
      <w:pPr>
        <w:adjustRightInd w:val="0"/>
        <w:snapToGrid w:val="0"/>
        <w:spacing w:line="288" w:lineRule="auto"/>
        <w:ind w:left="2683" w:leftChars="513" w:hanging="1606" w:hangingChars="500"/>
        <w:jc w:val="left"/>
        <w:rPr>
          <w:rFonts w:hint="default" w:ascii="宋体" w:hAnsi="宋体" w:eastAsia="宋体" w:cs="宋体"/>
          <w:b/>
          <w:bCs/>
          <w:color w:val="000000" w:themeColor="text1"/>
          <w:spacing w:val="0"/>
          <w:sz w:val="32"/>
          <w:szCs w:val="32"/>
          <w:u w:val="single"/>
          <w:lang w:val="en-US" w:eastAsia="zh-CN"/>
          <w14:textFill>
            <w14:solidFill>
              <w14:schemeClr w14:val="tx1"/>
            </w14:solidFill>
          </w14:textFill>
        </w:rPr>
      </w:pPr>
      <w:r>
        <w:rPr>
          <w:rFonts w:hint="eastAsia" w:ascii="宋体" w:hAnsi="宋体" w:eastAsia="宋体" w:cs="宋体"/>
          <w:b/>
          <w:bCs/>
          <w:color w:val="000000" w:themeColor="text1"/>
          <w:spacing w:val="0"/>
          <w:sz w:val="32"/>
          <w:szCs w:val="32"/>
          <w14:textFill>
            <w14:solidFill>
              <w14:schemeClr w14:val="tx1"/>
            </w14:solidFill>
          </w14:textFill>
        </w:rPr>
        <w:t>建设单位（盖章）：</w:t>
      </w:r>
      <w:r>
        <w:rPr>
          <w:rFonts w:hint="eastAsia" w:ascii="宋体" w:hAnsi="宋体" w:cs="宋体"/>
          <w:b/>
          <w:bCs/>
          <w:color w:val="000000" w:themeColor="text1"/>
          <w:spacing w:val="0"/>
          <w:sz w:val="32"/>
          <w:szCs w:val="32"/>
          <w:u w:val="single"/>
          <w:lang w:val="en-US" w:eastAsia="zh-CN"/>
          <w14:textFill>
            <w14:solidFill>
              <w14:schemeClr w14:val="tx1"/>
            </w14:solidFill>
          </w14:textFill>
        </w:rPr>
        <w:t>弥渡福兴新能源有限公司</w:t>
      </w:r>
      <w:r>
        <w:rPr>
          <w:rFonts w:hint="eastAsia" w:ascii="宋体" w:hAnsi="宋体" w:eastAsia="宋体" w:cs="宋体"/>
          <w:b/>
          <w:bCs/>
          <w:color w:val="000000" w:themeColor="text1"/>
          <w:spacing w:val="0"/>
          <w:sz w:val="32"/>
          <w:szCs w:val="32"/>
          <w:u w:val="single"/>
          <w:lang w:val="en-US" w:eastAsia="zh-CN"/>
          <w14:textFill>
            <w14:solidFill>
              <w14:schemeClr w14:val="tx1"/>
            </w14:solidFill>
          </w14:textFill>
        </w:rPr>
        <w:t xml:space="preserve">            </w:t>
      </w:r>
    </w:p>
    <w:p>
      <w:pPr>
        <w:adjustRightInd w:val="0"/>
        <w:snapToGrid w:val="0"/>
        <w:spacing w:line="288" w:lineRule="auto"/>
        <w:ind w:firstLine="1040"/>
        <w:jc w:val="left"/>
        <w:rPr>
          <w:rFonts w:hint="eastAsia" w:ascii="仿宋_GB2312" w:eastAsia="仿宋_GB2312"/>
          <w:color w:val="000000" w:themeColor="text1"/>
          <w:sz w:val="36"/>
          <w:szCs w:val="36"/>
          <w:u w:val="single"/>
          <w14:textFill>
            <w14:solidFill>
              <w14:schemeClr w14:val="tx1"/>
            </w14:solidFill>
          </w14:textFill>
        </w:rPr>
      </w:pPr>
      <w:r>
        <w:rPr>
          <w:rFonts w:hint="eastAsia" w:ascii="宋体" w:hAnsi="宋体" w:eastAsia="宋体" w:cs="宋体"/>
          <w:b/>
          <w:bCs/>
          <w:color w:val="000000" w:themeColor="text1"/>
          <w:spacing w:val="0"/>
          <w:sz w:val="32"/>
          <w:szCs w:val="32"/>
          <w14:textFill>
            <w14:solidFill>
              <w14:schemeClr w14:val="tx1"/>
            </w14:solidFill>
          </w14:textFill>
        </w:rPr>
        <w:t>编制日期：</w:t>
      </w:r>
      <w:r>
        <w:rPr>
          <w:rFonts w:hint="eastAsia" w:ascii="宋体" w:hAnsi="宋体" w:eastAsia="宋体" w:cs="宋体"/>
          <w:b/>
          <w:bCs/>
          <w:color w:val="000000" w:themeColor="text1"/>
          <w:spacing w:val="0"/>
          <w:sz w:val="32"/>
          <w:szCs w:val="32"/>
          <w:u w:val="single"/>
          <w14:textFill>
            <w14:solidFill>
              <w14:schemeClr w14:val="tx1"/>
            </w14:solidFill>
          </w14:textFill>
        </w:rPr>
        <w:t xml:space="preserve">    </w:t>
      </w:r>
      <w:r>
        <w:rPr>
          <w:rFonts w:hint="eastAsia" w:ascii="宋体" w:hAnsi="宋体" w:eastAsia="宋体" w:cs="宋体"/>
          <w:b/>
          <w:bCs/>
          <w:color w:val="000000" w:themeColor="text1"/>
          <w:spacing w:val="0"/>
          <w:sz w:val="32"/>
          <w:szCs w:val="32"/>
          <w:u w:val="single"/>
          <w:lang w:val="en-US" w:eastAsia="zh-CN"/>
          <w14:textFill>
            <w14:solidFill>
              <w14:schemeClr w14:val="tx1"/>
            </w14:solidFill>
          </w14:textFill>
        </w:rPr>
        <w:t xml:space="preserve">    </w:t>
      </w:r>
      <w:r>
        <w:rPr>
          <w:rFonts w:hint="eastAsia" w:ascii="宋体" w:hAnsi="宋体" w:eastAsia="宋体" w:cs="宋体"/>
          <w:b/>
          <w:bCs/>
          <w:color w:val="000000" w:themeColor="text1"/>
          <w:spacing w:val="0"/>
          <w:sz w:val="32"/>
          <w:szCs w:val="32"/>
          <w:u w:val="single"/>
          <w14:textFill>
            <w14:solidFill>
              <w14:schemeClr w14:val="tx1"/>
            </w14:solidFill>
          </w14:textFill>
        </w:rPr>
        <w:t xml:space="preserve"> </w:t>
      </w:r>
      <w:r>
        <w:rPr>
          <w:rFonts w:hint="eastAsia" w:ascii="宋体" w:hAnsi="宋体" w:eastAsia="宋体" w:cs="宋体"/>
          <w:b/>
          <w:bCs/>
          <w:color w:val="000000" w:themeColor="text1"/>
          <w:spacing w:val="0"/>
          <w:sz w:val="32"/>
          <w:szCs w:val="32"/>
          <w:u w:val="single"/>
          <w:lang w:val="en-US" w:eastAsia="zh-CN"/>
          <w14:textFill>
            <w14:solidFill>
              <w14:schemeClr w14:val="tx1"/>
            </w14:solidFill>
          </w14:textFill>
        </w:rPr>
        <w:t>2026年</w:t>
      </w:r>
      <w:r>
        <w:rPr>
          <w:rFonts w:hint="eastAsia" w:ascii="宋体" w:hAnsi="宋体" w:cs="宋体"/>
          <w:b/>
          <w:bCs/>
          <w:color w:val="000000" w:themeColor="text1"/>
          <w:spacing w:val="0"/>
          <w:sz w:val="32"/>
          <w:szCs w:val="32"/>
          <w:u w:val="single"/>
          <w:lang w:val="en-US" w:eastAsia="zh-CN"/>
          <w14:textFill>
            <w14:solidFill>
              <w14:schemeClr w14:val="tx1"/>
            </w14:solidFill>
          </w14:textFill>
        </w:rPr>
        <w:t>5</w:t>
      </w:r>
      <w:r>
        <w:rPr>
          <w:rFonts w:hint="eastAsia" w:ascii="宋体" w:hAnsi="宋体" w:eastAsia="宋体" w:cs="宋体"/>
          <w:b/>
          <w:bCs/>
          <w:color w:val="000000" w:themeColor="text1"/>
          <w:spacing w:val="0"/>
          <w:sz w:val="32"/>
          <w:szCs w:val="32"/>
          <w:u w:val="single"/>
          <w:lang w:val="en-US" w:eastAsia="zh-CN"/>
          <w14:textFill>
            <w14:solidFill>
              <w14:schemeClr w14:val="tx1"/>
            </w14:solidFill>
          </w14:textFill>
        </w:rPr>
        <w:t>月</w:t>
      </w:r>
      <w:r>
        <w:rPr>
          <w:rFonts w:hint="eastAsia" w:ascii="宋体" w:hAnsi="宋体" w:eastAsia="宋体" w:cs="宋体"/>
          <w:b/>
          <w:bCs/>
          <w:color w:val="000000" w:themeColor="text1"/>
          <w:spacing w:val="0"/>
          <w:sz w:val="32"/>
          <w:szCs w:val="32"/>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hint="eastAsia" w:ascii="仿宋_GB2312" w:eastAsia="仿宋_GB2312"/>
          <w:color w:val="000000" w:themeColor="text1"/>
          <w:sz w:val="36"/>
          <w:szCs w:val="36"/>
          <w14:textFill>
            <w14:solidFill>
              <w14:schemeClr w14:val="tx1"/>
            </w14:solidFill>
          </w14:textFill>
        </w:rPr>
      </w:pPr>
    </w:p>
    <w:p>
      <w:pPr>
        <w:adjustRightInd w:val="0"/>
        <w:snapToGrid w:val="0"/>
        <w:spacing w:line="288" w:lineRule="auto"/>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中华人民共和国生态环境部制</w:t>
      </w:r>
    </w:p>
    <w:p>
      <w:pPr>
        <w:adjustRightInd w:val="0"/>
        <w:snapToGrid w:val="0"/>
        <w:spacing w:line="288" w:lineRule="auto"/>
        <w:ind w:firstLine="1040"/>
        <w:jc w:val="center"/>
        <w:rPr>
          <w:rFonts w:hint="eastAsia" w:ascii="宋体" w:hAnsi="宋体" w:eastAsia="宋体" w:cs="宋体"/>
          <w:b/>
          <w:bCs/>
          <w:color w:val="000000" w:themeColor="text1"/>
          <w:sz w:val="32"/>
          <w:szCs w:val="32"/>
          <w14:textFill>
            <w14:solidFill>
              <w14:schemeClr w14:val="tx1"/>
            </w14:solidFill>
          </w14:textFill>
        </w:rPr>
        <w:sectPr>
          <w:headerReference r:id="rId3" w:type="default"/>
          <w:footerReference r:id="rId4" w:type="default"/>
          <w:footerReference r:id="rId5" w:type="even"/>
          <w:pgSz w:w="11906" w:h="16838"/>
          <w:pgMar w:top="1803" w:right="1440" w:bottom="1803" w:left="1440" w:header="851" w:footer="1077" w:gutter="0"/>
          <w:pgBorders>
            <w:top w:val="none" w:sz="0" w:space="0"/>
            <w:left w:val="none" w:sz="0" w:space="0"/>
            <w:bottom w:val="none" w:sz="0" w:space="0"/>
            <w:right w:val="none" w:sz="0" w:space="0"/>
          </w:pgBorders>
          <w:pgNumType w:fmt="decimal" w:start="21"/>
          <w:cols w:space="720" w:num="1"/>
          <w:titlePg/>
          <w:docGrid w:linePitch="312" w:charSpace="0"/>
        </w:sectPr>
      </w:pPr>
    </w:p>
    <w:p>
      <w:pPr>
        <w:spacing w:before="0" w:beforeLines="0" w:after="0" w:afterLines="0" w:line="360" w:lineRule="auto"/>
        <w:ind w:left="0" w:leftChars="0" w:right="0" w:rightChars="0" w:firstLine="0" w:firstLineChars="0"/>
        <w:jc w:val="center"/>
        <w:rPr>
          <w:b/>
          <w:bCs/>
          <w:color w:val="000000" w:themeColor="text1"/>
          <w:sz w:val="36"/>
          <w:szCs w:val="36"/>
          <w14:textFill>
            <w14:solidFill>
              <w14:schemeClr w14:val="tx1"/>
            </w14:solidFill>
          </w14:textFill>
        </w:rPr>
      </w:pPr>
      <w:r>
        <w:rPr>
          <w:rFonts w:ascii="宋体" w:hAnsi="宋体" w:eastAsia="宋体"/>
          <w:b/>
          <w:bCs/>
          <w:color w:val="000000" w:themeColor="text1"/>
          <w:sz w:val="36"/>
          <w:szCs w:val="36"/>
          <w14:textFill>
            <w14:solidFill>
              <w14:schemeClr w14:val="tx1"/>
            </w14:solidFill>
          </w14:textFill>
        </w:rPr>
        <w:t>目录</w:t>
      </w:r>
    </w:p>
    <w:p>
      <w:pPr>
        <w:pStyle w:val="20"/>
        <w:tabs>
          <w:tab w:val="right" w:leader="dot" w:pos="8844"/>
        </w:tabs>
        <w:spacing w:line="360" w:lineRule="auto"/>
        <w:rPr>
          <w:rFonts w:hint="eastAsia" w:ascii="仿宋" w:hAnsi="仿宋" w:eastAsia="仿宋" w:cs="仿宋"/>
          <w:b/>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"1-1" \h \u </w:instrText>
      </w:r>
      <w:r>
        <w:rPr>
          <w:color w:val="000000" w:themeColor="text1"/>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HYPERLINK \l _Toc1556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snapToGrid w:val="0"/>
          <w:color w:val="000000" w:themeColor="text1"/>
          <w:sz w:val="24"/>
          <w:szCs w:val="24"/>
          <w14:textFill>
            <w14:solidFill>
              <w14:schemeClr w14:val="tx1"/>
            </w14:solidFill>
          </w14:textFill>
        </w:rPr>
        <w:t>一、建设项目基本情况</w:t>
      </w:r>
      <w:r>
        <w:rPr>
          <w:rFonts w:hint="eastAsia" w:ascii="仿宋" w:hAnsi="仿宋" w:eastAsia="仿宋" w:cs="仿宋"/>
          <w:b/>
          <w:bCs/>
          <w:color w:val="000000" w:themeColor="text1"/>
          <w:sz w:val="24"/>
          <w:szCs w:val="24"/>
          <w14:textFill>
            <w14:solidFill>
              <w14:schemeClr w14:val="tx1"/>
            </w14:solidFill>
          </w14:textFill>
        </w:rPr>
        <w:tab/>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PAGEREF _Toc1556 \h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t>1</w:t>
      </w:r>
      <w:r>
        <w:rPr>
          <w:rFonts w:hint="eastAsia" w:ascii="仿宋" w:hAnsi="仿宋" w:eastAsia="仿宋" w:cs="仿宋"/>
          <w:b/>
          <w:bCs/>
          <w:color w:val="000000" w:themeColor="text1"/>
          <w:sz w:val="24"/>
          <w:szCs w:val="24"/>
          <w14:textFill>
            <w14:solidFill>
              <w14:schemeClr w14:val="tx1"/>
            </w14:solidFill>
          </w14:textFill>
        </w:rPr>
        <w:fldChar w:fldCharType="end"/>
      </w:r>
      <w:r>
        <w:rPr>
          <w:rFonts w:hint="eastAsia" w:ascii="仿宋" w:hAnsi="仿宋" w:eastAsia="仿宋" w:cs="仿宋"/>
          <w:b/>
          <w:bCs/>
          <w:color w:val="000000" w:themeColor="text1"/>
          <w:sz w:val="24"/>
          <w:szCs w:val="24"/>
          <w14:textFill>
            <w14:solidFill>
              <w14:schemeClr w14:val="tx1"/>
            </w14:solidFill>
          </w14:textFill>
        </w:rPr>
        <w:fldChar w:fldCharType="end"/>
      </w:r>
    </w:p>
    <w:p>
      <w:pPr>
        <w:pStyle w:val="20"/>
        <w:tabs>
          <w:tab w:val="right" w:leader="dot" w:pos="8844"/>
        </w:tabs>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HYPERLINK \l _Toc30478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snapToGrid w:val="0"/>
          <w:color w:val="000000" w:themeColor="text1"/>
          <w:sz w:val="24"/>
          <w:szCs w:val="24"/>
          <w14:textFill>
            <w14:solidFill>
              <w14:schemeClr w14:val="tx1"/>
            </w14:solidFill>
          </w14:textFill>
        </w:rPr>
        <w:t>二、建设内容</w:t>
      </w:r>
      <w:r>
        <w:rPr>
          <w:rFonts w:hint="eastAsia" w:ascii="仿宋" w:hAnsi="仿宋" w:eastAsia="仿宋" w:cs="仿宋"/>
          <w:b/>
          <w:bCs/>
          <w:color w:val="000000" w:themeColor="text1"/>
          <w:sz w:val="24"/>
          <w:szCs w:val="24"/>
          <w14:textFill>
            <w14:solidFill>
              <w14:schemeClr w14:val="tx1"/>
            </w14:solidFill>
          </w14:textFill>
        </w:rPr>
        <w:tab/>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PAGEREF _Toc30478 \h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t>35</w:t>
      </w:r>
      <w:r>
        <w:rPr>
          <w:rFonts w:hint="eastAsia" w:ascii="仿宋" w:hAnsi="仿宋" w:eastAsia="仿宋" w:cs="仿宋"/>
          <w:b/>
          <w:bCs/>
          <w:color w:val="000000" w:themeColor="text1"/>
          <w:sz w:val="24"/>
          <w:szCs w:val="24"/>
          <w14:textFill>
            <w14:solidFill>
              <w14:schemeClr w14:val="tx1"/>
            </w14:solidFill>
          </w14:textFill>
        </w:rPr>
        <w:fldChar w:fldCharType="end"/>
      </w:r>
      <w:r>
        <w:rPr>
          <w:rFonts w:hint="eastAsia" w:ascii="仿宋" w:hAnsi="仿宋" w:eastAsia="仿宋" w:cs="仿宋"/>
          <w:b/>
          <w:bCs/>
          <w:color w:val="000000" w:themeColor="text1"/>
          <w:sz w:val="24"/>
          <w:szCs w:val="24"/>
          <w14:textFill>
            <w14:solidFill>
              <w14:schemeClr w14:val="tx1"/>
            </w14:solidFill>
          </w14:textFill>
        </w:rPr>
        <w:fldChar w:fldCharType="end"/>
      </w:r>
    </w:p>
    <w:p>
      <w:pPr>
        <w:pStyle w:val="20"/>
        <w:tabs>
          <w:tab w:val="right" w:leader="dot" w:pos="8844"/>
        </w:tabs>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HYPERLINK \l _Toc31883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snapToGrid w:val="0"/>
          <w:color w:val="000000" w:themeColor="text1"/>
          <w:sz w:val="24"/>
          <w:szCs w:val="24"/>
          <w14:textFill>
            <w14:solidFill>
              <w14:schemeClr w14:val="tx1"/>
            </w14:solidFill>
          </w14:textFill>
        </w:rPr>
        <w:t>三、生态环境现状、保护目标及评价标准</w:t>
      </w:r>
      <w:r>
        <w:rPr>
          <w:rFonts w:hint="eastAsia" w:ascii="仿宋" w:hAnsi="仿宋" w:eastAsia="仿宋" w:cs="仿宋"/>
          <w:b/>
          <w:bCs/>
          <w:color w:val="000000" w:themeColor="text1"/>
          <w:sz w:val="24"/>
          <w:szCs w:val="24"/>
          <w14:textFill>
            <w14:solidFill>
              <w14:schemeClr w14:val="tx1"/>
            </w14:solidFill>
          </w14:textFill>
        </w:rPr>
        <w:tab/>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PAGEREF _Toc31883 \h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t>51</w:t>
      </w:r>
      <w:r>
        <w:rPr>
          <w:rFonts w:hint="eastAsia" w:ascii="仿宋" w:hAnsi="仿宋" w:eastAsia="仿宋" w:cs="仿宋"/>
          <w:b/>
          <w:bCs/>
          <w:color w:val="000000" w:themeColor="text1"/>
          <w:sz w:val="24"/>
          <w:szCs w:val="24"/>
          <w14:textFill>
            <w14:solidFill>
              <w14:schemeClr w14:val="tx1"/>
            </w14:solidFill>
          </w14:textFill>
        </w:rPr>
        <w:fldChar w:fldCharType="end"/>
      </w:r>
      <w:r>
        <w:rPr>
          <w:rFonts w:hint="eastAsia" w:ascii="仿宋" w:hAnsi="仿宋" w:eastAsia="仿宋" w:cs="仿宋"/>
          <w:b/>
          <w:bCs/>
          <w:color w:val="000000" w:themeColor="text1"/>
          <w:sz w:val="24"/>
          <w:szCs w:val="24"/>
          <w14:textFill>
            <w14:solidFill>
              <w14:schemeClr w14:val="tx1"/>
            </w14:solidFill>
          </w14:textFill>
        </w:rPr>
        <w:fldChar w:fldCharType="end"/>
      </w:r>
    </w:p>
    <w:p>
      <w:pPr>
        <w:pStyle w:val="20"/>
        <w:tabs>
          <w:tab w:val="right" w:leader="dot" w:pos="8844"/>
        </w:tabs>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HYPERLINK \l _Toc4804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snapToGrid w:val="0"/>
          <w:color w:val="000000" w:themeColor="text1"/>
          <w:sz w:val="24"/>
          <w:szCs w:val="24"/>
          <w14:textFill>
            <w14:solidFill>
              <w14:schemeClr w14:val="tx1"/>
            </w14:solidFill>
          </w14:textFill>
        </w:rPr>
        <w:t>四、生态环境影响分析</w:t>
      </w:r>
      <w:r>
        <w:rPr>
          <w:rFonts w:hint="eastAsia" w:ascii="仿宋" w:hAnsi="仿宋" w:eastAsia="仿宋" w:cs="仿宋"/>
          <w:b/>
          <w:bCs/>
          <w:color w:val="000000" w:themeColor="text1"/>
          <w:sz w:val="24"/>
          <w:szCs w:val="24"/>
          <w14:textFill>
            <w14:solidFill>
              <w14:schemeClr w14:val="tx1"/>
            </w14:solidFill>
          </w14:textFill>
        </w:rPr>
        <w:tab/>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PAGEREF _Toc4804 \h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t>73</w:t>
      </w:r>
      <w:r>
        <w:rPr>
          <w:rFonts w:hint="eastAsia" w:ascii="仿宋" w:hAnsi="仿宋" w:eastAsia="仿宋" w:cs="仿宋"/>
          <w:b/>
          <w:bCs/>
          <w:color w:val="000000" w:themeColor="text1"/>
          <w:sz w:val="24"/>
          <w:szCs w:val="24"/>
          <w14:textFill>
            <w14:solidFill>
              <w14:schemeClr w14:val="tx1"/>
            </w14:solidFill>
          </w14:textFill>
        </w:rPr>
        <w:fldChar w:fldCharType="end"/>
      </w:r>
      <w:r>
        <w:rPr>
          <w:rFonts w:hint="eastAsia" w:ascii="仿宋" w:hAnsi="仿宋" w:eastAsia="仿宋" w:cs="仿宋"/>
          <w:b/>
          <w:bCs/>
          <w:color w:val="000000" w:themeColor="text1"/>
          <w:sz w:val="24"/>
          <w:szCs w:val="24"/>
          <w14:textFill>
            <w14:solidFill>
              <w14:schemeClr w14:val="tx1"/>
            </w14:solidFill>
          </w14:textFill>
        </w:rPr>
        <w:fldChar w:fldCharType="end"/>
      </w:r>
    </w:p>
    <w:p>
      <w:pPr>
        <w:pStyle w:val="20"/>
        <w:tabs>
          <w:tab w:val="right" w:leader="dot" w:pos="8844"/>
        </w:tabs>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HYPERLINK \l _Toc3134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snapToGrid w:val="0"/>
          <w:color w:val="000000" w:themeColor="text1"/>
          <w:sz w:val="24"/>
          <w:szCs w:val="24"/>
          <w14:textFill>
            <w14:solidFill>
              <w14:schemeClr w14:val="tx1"/>
            </w14:solidFill>
          </w14:textFill>
        </w:rPr>
        <w:t>五、主要生态环境保护措施</w:t>
      </w:r>
      <w:r>
        <w:rPr>
          <w:rFonts w:hint="eastAsia" w:ascii="仿宋" w:hAnsi="仿宋" w:eastAsia="仿宋" w:cs="仿宋"/>
          <w:b/>
          <w:bCs/>
          <w:color w:val="000000" w:themeColor="text1"/>
          <w:sz w:val="24"/>
          <w:szCs w:val="24"/>
          <w14:textFill>
            <w14:solidFill>
              <w14:schemeClr w14:val="tx1"/>
            </w14:solidFill>
          </w14:textFill>
        </w:rPr>
        <w:tab/>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PAGEREF _Toc3134 \h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t>97</w:t>
      </w:r>
      <w:r>
        <w:rPr>
          <w:rFonts w:hint="eastAsia" w:ascii="仿宋" w:hAnsi="仿宋" w:eastAsia="仿宋" w:cs="仿宋"/>
          <w:b/>
          <w:bCs/>
          <w:color w:val="000000" w:themeColor="text1"/>
          <w:sz w:val="24"/>
          <w:szCs w:val="24"/>
          <w14:textFill>
            <w14:solidFill>
              <w14:schemeClr w14:val="tx1"/>
            </w14:solidFill>
          </w14:textFill>
        </w:rPr>
        <w:fldChar w:fldCharType="end"/>
      </w:r>
      <w:r>
        <w:rPr>
          <w:rFonts w:hint="eastAsia" w:ascii="仿宋" w:hAnsi="仿宋" w:eastAsia="仿宋" w:cs="仿宋"/>
          <w:b/>
          <w:bCs/>
          <w:color w:val="000000" w:themeColor="text1"/>
          <w:sz w:val="24"/>
          <w:szCs w:val="24"/>
          <w14:textFill>
            <w14:solidFill>
              <w14:schemeClr w14:val="tx1"/>
            </w14:solidFill>
          </w14:textFill>
        </w:rPr>
        <w:fldChar w:fldCharType="end"/>
      </w:r>
    </w:p>
    <w:p>
      <w:pPr>
        <w:pStyle w:val="20"/>
        <w:tabs>
          <w:tab w:val="right" w:leader="dot" w:pos="8844"/>
        </w:tabs>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HYPERLINK \l _Toc6866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snapToGrid w:val="0"/>
          <w:color w:val="000000" w:themeColor="text1"/>
          <w:sz w:val="24"/>
          <w:szCs w:val="24"/>
          <w14:textFill>
            <w14:solidFill>
              <w14:schemeClr w14:val="tx1"/>
            </w14:solidFill>
          </w14:textFill>
        </w:rPr>
        <w:t>六、生态环境保护措施监督检查清单</w:t>
      </w:r>
      <w:r>
        <w:rPr>
          <w:rFonts w:hint="eastAsia" w:ascii="仿宋" w:hAnsi="仿宋" w:eastAsia="仿宋" w:cs="仿宋"/>
          <w:b/>
          <w:bCs/>
          <w:color w:val="000000" w:themeColor="text1"/>
          <w:sz w:val="24"/>
          <w:szCs w:val="24"/>
          <w14:textFill>
            <w14:solidFill>
              <w14:schemeClr w14:val="tx1"/>
            </w14:solidFill>
          </w14:textFill>
        </w:rPr>
        <w:tab/>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PAGEREF _Toc6866 \h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t>105</w:t>
      </w:r>
      <w:r>
        <w:rPr>
          <w:rFonts w:hint="eastAsia" w:ascii="仿宋" w:hAnsi="仿宋" w:eastAsia="仿宋" w:cs="仿宋"/>
          <w:b/>
          <w:bCs/>
          <w:color w:val="000000" w:themeColor="text1"/>
          <w:sz w:val="24"/>
          <w:szCs w:val="24"/>
          <w14:textFill>
            <w14:solidFill>
              <w14:schemeClr w14:val="tx1"/>
            </w14:solidFill>
          </w14:textFill>
        </w:rPr>
        <w:fldChar w:fldCharType="end"/>
      </w:r>
      <w:r>
        <w:rPr>
          <w:rFonts w:hint="eastAsia" w:ascii="仿宋" w:hAnsi="仿宋" w:eastAsia="仿宋" w:cs="仿宋"/>
          <w:b/>
          <w:bCs/>
          <w:color w:val="000000" w:themeColor="text1"/>
          <w:sz w:val="24"/>
          <w:szCs w:val="24"/>
          <w14:textFill>
            <w14:solidFill>
              <w14:schemeClr w14:val="tx1"/>
            </w14:solidFill>
          </w14:textFill>
        </w:rPr>
        <w:fldChar w:fldCharType="end"/>
      </w:r>
    </w:p>
    <w:p>
      <w:pPr>
        <w:pStyle w:val="20"/>
        <w:tabs>
          <w:tab w:val="right" w:leader="dot" w:pos="8844"/>
        </w:tabs>
        <w:spacing w:line="360" w:lineRule="auto"/>
        <w:rPr>
          <w:color w:val="000000" w:themeColor="text1"/>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HYPERLINK \l _Toc8083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snapToGrid w:val="0"/>
          <w:color w:val="000000" w:themeColor="text1"/>
          <w:sz w:val="24"/>
          <w:szCs w:val="24"/>
          <w14:textFill>
            <w14:solidFill>
              <w14:schemeClr w14:val="tx1"/>
            </w14:solidFill>
          </w14:textFill>
        </w:rPr>
        <w:t>七、结论</w:t>
      </w:r>
      <w:r>
        <w:rPr>
          <w:rFonts w:hint="eastAsia" w:ascii="仿宋" w:hAnsi="仿宋" w:eastAsia="仿宋" w:cs="仿宋"/>
          <w:b/>
          <w:bCs/>
          <w:color w:val="000000" w:themeColor="text1"/>
          <w:sz w:val="24"/>
          <w:szCs w:val="24"/>
          <w14:textFill>
            <w14:solidFill>
              <w14:schemeClr w14:val="tx1"/>
            </w14:solidFill>
          </w14:textFill>
        </w:rPr>
        <w:tab/>
      </w: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 PAGEREF _Toc8083 \h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
          <w:bCs/>
          <w:color w:val="000000" w:themeColor="text1"/>
          <w:sz w:val="24"/>
          <w:szCs w:val="24"/>
          <w14:textFill>
            <w14:solidFill>
              <w14:schemeClr w14:val="tx1"/>
            </w14:solidFill>
          </w14:textFill>
        </w:rPr>
        <w:t>109</w:t>
      </w:r>
      <w:r>
        <w:rPr>
          <w:rFonts w:hint="eastAsia" w:ascii="仿宋" w:hAnsi="仿宋" w:eastAsia="仿宋" w:cs="仿宋"/>
          <w:b/>
          <w:bCs/>
          <w:color w:val="000000" w:themeColor="text1"/>
          <w:sz w:val="24"/>
          <w:szCs w:val="24"/>
          <w14:textFill>
            <w14:solidFill>
              <w14:schemeClr w14:val="tx1"/>
            </w14:solidFill>
          </w14:textFill>
        </w:rPr>
        <w:fldChar w:fldCharType="end"/>
      </w:r>
      <w:r>
        <w:rPr>
          <w:rFonts w:hint="eastAsia" w:ascii="仿宋" w:hAnsi="仿宋" w:eastAsia="仿宋" w:cs="仿宋"/>
          <w:b/>
          <w:bCs/>
          <w:color w:val="000000" w:themeColor="text1"/>
          <w:sz w:val="24"/>
          <w:szCs w:val="24"/>
          <w14:textFill>
            <w14:solidFill>
              <w14:schemeClr w14:val="tx1"/>
            </w14:solidFill>
          </w14:textFill>
        </w:rPr>
        <w:fldChar w:fldCharType="end"/>
      </w:r>
    </w:p>
    <w:p>
      <w:pPr>
        <w:bidi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pPr>
        <w:bidi w:val="0"/>
        <w:spacing w:line="360" w:lineRule="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附件：</w:t>
      </w:r>
    </w:p>
    <w:p>
      <w:pPr>
        <w:spacing w:line="360"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附件1</w:t>
      </w:r>
      <w:r>
        <w:rPr>
          <w:rFonts w:hint="eastAsia" w:ascii="仿宋" w:hAnsi="仿宋" w:eastAsia="仿宋" w:cs="仿宋"/>
          <w:color w:val="000000" w:themeColor="text1"/>
          <w:sz w:val="24"/>
          <w:lang w:eastAsia="zh-CN"/>
          <w14:textFill>
            <w14:solidFill>
              <w14:schemeClr w14:val="tx1"/>
            </w14:solidFill>
          </w14:textFill>
        </w:rPr>
        <w:t>：弥渡县要素部门选址意见</w:t>
      </w:r>
    </w:p>
    <w:p>
      <w:pPr>
        <w:spacing w:line="360" w:lineRule="auto"/>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附件2</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关于弥渡莲峰村项目业主名称更换的批复函</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附件3</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关于印发云南省千村万乡驾驭风行动第一批项目开发建设方案的通知</w:t>
      </w:r>
    </w:p>
    <w:p>
      <w:pPr>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附图：</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附图1：项目地理位置图；</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附图2：项目区水系图；</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附图3：工程总平面布置图；</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附图4：生态影响评价范围图；</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附图5：土地利用现状图；</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附图6：开关站平面布置及防渗示意图；</w:t>
      </w: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p>
      <w:pPr>
        <w:bidi w:val="0"/>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p>
      <w:pPr>
        <w:jc w:val="center"/>
        <w:rPr>
          <w:rFonts w:hint="eastAsia" w:ascii="黑体" w:hAnsi="黑体" w:eastAsia="黑体" w:cs="黑体"/>
          <w:b/>
          <w:bCs/>
          <w:color w:val="000000" w:themeColor="text1"/>
          <w:sz w:val="36"/>
          <w:szCs w:val="36"/>
          <w14:textFill>
            <w14:solidFill>
              <w14:schemeClr w14:val="tx1"/>
            </w14:solidFill>
          </w14:textFill>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pPr>
        <w:jc w:val="center"/>
        <w:rPr>
          <w:rFonts w:hint="eastAsia" w:ascii="黑体" w:hAnsi="黑体" w:eastAsia="黑体" w:cs="黑体"/>
          <w:b/>
          <w:bCs/>
          <w:color w:val="000000" w:themeColor="text1"/>
          <w:sz w:val="36"/>
          <w:szCs w:val="36"/>
          <w14:textFill>
            <w14:solidFill>
              <w14:schemeClr w14:val="tx1"/>
            </w14:solidFill>
          </w14:textFill>
        </w:rPr>
      </w:pPr>
      <w:r>
        <w:rPr>
          <w:rFonts w:hint="eastAsia" w:ascii="黑体" w:hAnsi="黑体" w:eastAsia="黑体" w:cs="黑体"/>
          <w:b/>
          <w:bCs/>
          <w:color w:val="000000" w:themeColor="text1"/>
          <w:sz w:val="36"/>
          <w:szCs w:val="36"/>
          <w14:textFill>
            <w14:solidFill>
              <w14:schemeClr w14:val="tx1"/>
            </w14:solidFill>
          </w14:textFill>
        </w:rPr>
        <w:t>前言</w:t>
      </w:r>
    </w:p>
    <w:p>
      <w:pPr>
        <w:jc w:val="center"/>
        <w:rPr>
          <w:rFonts w:hint="eastAsia" w:ascii="黑体" w:hAnsi="黑体" w:eastAsia="黑体" w:cs="黑体"/>
          <w:b/>
          <w:bCs/>
          <w:color w:val="000000" w:themeColor="text1"/>
          <w:sz w:val="36"/>
          <w:szCs w:val="36"/>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bidi="ar"/>
          <w14:textFill>
            <w14:solidFill>
              <w14:schemeClr w14:val="tx1"/>
            </w14:solidFill>
          </w14:textFill>
        </w:rPr>
        <w:t>项目由来：</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为深入贯彻落实习近平总书记关于大力推动我国新能源高质量发展的重要讲话精神，扎实推进省委“3815”战略实施，持续打造绿色能源强省，提升电力供给能力，加快新能源项目开发建设，统筹推进风电、光伏等新能源项目高质量发展，根据《云南省绿色能源发展 “十四五”规划》及国家发展改革委、国家能源局、农业农村部《关于组织开展“千乡万村驭风行动”</w:t>
      </w:r>
      <w:bookmarkStart w:id="42" w:name="_GoBack"/>
      <w:bookmarkEnd w:id="42"/>
      <w:r>
        <w:rPr>
          <w:rFonts w:hint="eastAsia" w:ascii="仿宋" w:hAnsi="仿宋" w:eastAsia="仿宋" w:cs="仿宋"/>
          <w:color w:val="000000" w:themeColor="text1"/>
          <w:kern w:val="0"/>
          <w:sz w:val="24"/>
          <w:highlight w:val="none"/>
          <w:lang w:val="en-US" w:eastAsia="zh-CN" w:bidi="ar"/>
          <w14:textFill>
            <w14:solidFill>
              <w14:schemeClr w14:val="tx1"/>
            </w14:solidFill>
          </w14:textFill>
        </w:rPr>
        <w:t>的通知》（发改能源〔2024〕378号）等相关要求，云南省发展和改革委员会、云南省能源局有序推进分散式风电项目开发建设。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color w:val="000000" w:themeColor="text1"/>
          <w:kern w:val="0"/>
          <w:sz w:val="24"/>
          <w:highlight w:val="none"/>
          <w:lang w:val="en-US" w:eastAsia="zh-CN" w:bidi="ar"/>
          <w14:textFill>
            <w14:solidFill>
              <w14:schemeClr w14:val="tx1"/>
            </w14:solidFill>
          </w14:textFill>
        </w:rPr>
        <w:t>“千乡万村驭风行动”莲峰村项目是云南省分散式风电重点推进项目之一，规划装机容量20MW，项目由弥渡福兴新能源有限公司负责投资建设。2025年11月中国水利水电第十四工程局有限公司编制完成《“千乡万村驭风行动”莲峰村项目可行性研究报告》；2025年10月～2025年11月完成项目场址风能资源监测、工程地质勘察及场址生态、土地、林地、用地预审等前期核查工作，取得弥渡县自然资源局、林业和草原局、水务局、大理白族自治州生态环境局弥渡分局等单位对本项目的选址意见；2025年11月取得《建设项目用地预审与选址意见书》；项目按云南省分散式风电管理要求完成核准程序，项目代码：2511-530025-04-01-678901。2025年12月弥渡福兴新能源有限公司正式委托第三方机构开展莲峰村风电项目环境影响评价，2025年12月，评价单位组织专业人员对莲峰村风电项目生态环境影响评价范围（以下简称“评价区”）及邻近地区进行了生态环境现状调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bidi="ar"/>
          <w14:textFill>
            <w14:solidFill>
              <w14:schemeClr w14:val="tx1"/>
            </w14:solidFill>
          </w14:textFill>
        </w:rPr>
        <w:t>项目基本情况：</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 xml:space="preserve">千乡万村驭风行动”莲峰村项目位于大理州弥渡县莲峰村东侧老鸦山，规划总装机容量20MW，估算总投资13523.19万元，拟安装4台单机容量5MW的风力发电机组，轮毂高度120m。本项目新建一座35kV开关站，以1回35kV线路接入110kV桐白线，线路长度约8km。风机电能经箱变升压后通过35kV集电线路接入开关站，经汇流后接入电网（送出线路纳入项目统一实施）。风电场理论年发电量为8886.28万kW・h，年上网电量为5776.08万kW・h，年等效满负荷小时数为2888.04h，容量系数为0.33。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bidi="ar"/>
          <w14:textFill>
            <w14:solidFill>
              <w14:schemeClr w14:val="tx1"/>
            </w14:solidFill>
          </w14:textFill>
        </w:rPr>
        <w:t>项目敏感性因素分析：</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 xml:space="preserve">经查询及叠图分析，项目敏感性因素分析如下：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bidi="ar"/>
          <w14:textFill>
            <w14:solidFill>
              <w14:schemeClr w14:val="tx1"/>
            </w14:solidFill>
          </w14:textFill>
        </w:rPr>
        <w:t>生态保护红线：</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项目选址不涉及占用生态保护红线，与生态保护红线相关管理规定不冲突。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ascii="宋体" w:hAnsi="宋体" w:eastAsia="宋体" w:cs="宋体"/>
          <w:color w:val="000000" w:themeColor="text1"/>
          <w:sz w:val="24"/>
          <w:szCs w:val="24"/>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bidi="ar"/>
          <w14:textFill>
            <w14:solidFill>
              <w14:schemeClr w14:val="tx1"/>
            </w14:solidFill>
          </w14:textFill>
        </w:rPr>
        <w:t>其他敏感区：</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项目不占用永久基本农田，未处于城镇开发边界线内；不占用天然乔木林（竹林）地、一级国家级公益林地和二级国家级公益林中的有林地；不涉及国家公园、自然保护区、森林公园、风景名胜区等各类自然保护地，不涉及世界自然和文化遗产地、重要湿地、基本草原等生态敏感区，不涉及云南省候鸟迁徙通道重点区域和濒危物种栖息地等重要生境区域。项目已取得弥渡县自然资源局、林业和草原局、水利局及大理白族自治州生态环境局弥渡分局等相关部门的选址意见，各行政主管部门均同意项目选址。项目选址无重大环境制约因素，选址合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bidi="ar"/>
          <w14:textFill>
            <w14:solidFill>
              <w14:schemeClr w14:val="tx1"/>
            </w14:solidFill>
          </w14:textFill>
        </w:rPr>
        <w:t>项目前期工作：</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 xml:space="preserve">2025年11月，项目可行性研究报告由中国水利水电第十四工程局有限公司编制完成。目前，项目已完成风能资源监测、工程地质勘察、用地预审与选址意见书办理，地质灾害危险性评估、林业调查、水土保持方案、环境影响评价等相关专题报告正在办理过程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bidi="ar"/>
          <w14:textFill>
            <w14:solidFill>
              <w14:schemeClr w14:val="tx1"/>
            </w14:solidFill>
          </w14:textFill>
        </w:rPr>
        <w:t>项目开工和投诉情况：</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项目尚未开工建设。未收到有关信访投诉。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环评类别：</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依据《建设项目环境影响评价分类管理名录（2021年）》的规定，该建设项目属于 “四十九、电力、热力生产和供应业，161、风力发电”项目，总装机容量20MW（小于50MW），需实施环境影响报告表审批管理。2025年12月，弥渡福兴新能源有限公司委托环评单位开展本项目环境影响评价工作。环评单位接受委托后，即刻组建项目组，并按照相关要求开展现场踏勘、资料收集以及生态调查工作，同时依据《建设项目环境影响报告表编制技术指南（生态影响类）（试行）》的相关要求，编制完成《“千乡万村驭风行动” 莲峰村项目环境影响报告表》（生态影响类）（送审稿），以供建设单位上报审查。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评价结论：</w:t>
      </w:r>
      <w:bookmarkStart w:id="2" w:name="_Toc1556"/>
      <w:r>
        <w:rPr>
          <w:rFonts w:hint="eastAsia" w:ascii="仿宋" w:hAnsi="仿宋" w:eastAsia="仿宋" w:cs="仿宋"/>
          <w:color w:val="000000" w:themeColor="text1"/>
          <w:kern w:val="0"/>
          <w:sz w:val="24"/>
          <w:highlight w:val="none"/>
          <w:lang w:val="en-US" w:eastAsia="zh-CN" w:bidi="ar"/>
          <w14:textFill>
            <w14:solidFill>
              <w14:schemeClr w14:val="tx1"/>
            </w14:solidFill>
          </w14:textFill>
        </w:rPr>
        <w:t>本项目符合国家产业政策，符合 “三线一单”、《大理州生态环境分区管控动态更新调整方案（2023年）》等相关规定，选址合理。项目的施工建设与发电运行不可避免地会在短期内对一定范围内的生态环境、水环境、声环境以及大气环境产生负面影响。若严格落实本报告所提出的污染物防治措施与生态保护措施，并加强环境管理，可确保污染物达标排放、生态影响可控，使该项目对区域环境的影响处于可接受范围之内，不会降低或改变该区域的环境质量与环境功能。从环境层面考量，本项目的建设具有可行性。本次环境影响评价依据项目核准批复、用地预审与选址意见书及可行性研究报告确定的建设范围、建设内容与工期安排，仅针对“千乡万村驭风行动”莲峰村20MW风电项目开展环境影响评价。项目运营期满退役后，若开展场址复绿、设施拆除等后续工作，应另行履行相关环保手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highlight w:val="none"/>
          <w:lang w:val="en-US" w:eastAsia="zh-CN" w:bidi="ar"/>
          <w14:textFill>
            <w14:solidFill>
              <w14:schemeClr w14:val="tx1"/>
            </w14:solidFill>
          </w14:textFill>
        </w:rPr>
      </w:pPr>
    </w:p>
    <w:p>
      <w:pPr>
        <w:pStyle w:val="21"/>
        <w:spacing w:line="240" w:lineRule="auto"/>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bookmarkEnd w:id="2"/>
    </w:p>
    <w:tbl>
      <w:tblPr>
        <w:tblStyle w:val="24"/>
        <w:tblW w:w="0" w:type="auto"/>
        <w:tblInd w:w="1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0" w:type="dxa"/>
          <w:bottom w:w="0" w:type="dxa"/>
          <w:right w:w="0" w:type="dxa"/>
        </w:tblCellMar>
      </w:tblPr>
      <w:tblGrid>
        <w:gridCol w:w="892"/>
        <w:gridCol w:w="1405"/>
        <w:gridCol w:w="2347"/>
        <w:gridCol w:w="32"/>
        <w:gridCol w:w="417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62" w:hRule="atLeast"/>
        </w:trPr>
        <w:tc>
          <w:tcPr>
            <w:tcW w:w="892" w:type="dxa"/>
            <w:tcBorders>
              <w:tl2br w:val="nil"/>
              <w:tr2bl w:val="nil"/>
            </w:tcBorders>
            <w:shd w:val="clear" w:color="auto" w:fill="FFFFFF" w:themeFill="background1"/>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建设项目名称</w:t>
            </w:r>
          </w:p>
        </w:tc>
        <w:tc>
          <w:tcPr>
            <w:tcW w:w="7962" w:type="dxa"/>
            <w:gridSpan w:val="4"/>
            <w:tcBorders>
              <w:tl2br w:val="nil"/>
              <w:tr2bl w:val="nil"/>
            </w:tcBorders>
            <w:shd w:val="clear" w:color="auto" w:fill="FFFFFF" w:themeFill="background1"/>
            <w:noWrap w:val="0"/>
            <w:vAlign w:val="center"/>
          </w:tcPr>
          <w:p>
            <w:pPr>
              <w:adjustRightInd w:val="0"/>
              <w:snapToGrid w:val="0"/>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“千乡万村驭风行动”莲峰村项目</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55"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w:t>
            </w:r>
          </w:p>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代码</w:t>
            </w:r>
          </w:p>
        </w:tc>
        <w:tc>
          <w:tcPr>
            <w:tcW w:w="7962" w:type="dxa"/>
            <w:gridSpan w:val="4"/>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62"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建设单位联系人</w:t>
            </w:r>
          </w:p>
        </w:tc>
        <w:tc>
          <w:tcPr>
            <w:tcW w:w="1405" w:type="dxa"/>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李六弟</w:t>
            </w:r>
          </w:p>
        </w:tc>
        <w:tc>
          <w:tcPr>
            <w:tcW w:w="2379" w:type="dxa"/>
            <w:gridSpan w:val="2"/>
            <w:tcBorders>
              <w:tl2br w:val="nil"/>
              <w:tr2bl w:val="nil"/>
            </w:tcBorders>
            <w:shd w:val="clear" w:color="auto" w:fill="FFFFFF"/>
            <w:noWrap w:val="0"/>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联系方式</w:t>
            </w:r>
          </w:p>
        </w:tc>
        <w:tc>
          <w:tcPr>
            <w:tcW w:w="4178" w:type="dxa"/>
            <w:tcBorders>
              <w:tl2br w:val="nil"/>
              <w:tr2bl w:val="nil"/>
            </w:tcBorders>
            <w:shd w:val="clear" w:color="auto" w:fill="FFFFFF"/>
            <w:noWrap w:val="0"/>
            <w:vAlign w:val="center"/>
          </w:tcPr>
          <w:p>
            <w:pPr>
              <w:pStyle w:val="2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lang w:val="en-US" w:eastAsia="zh-CN"/>
                <w14:textFill>
                  <w14:solidFill>
                    <w14:schemeClr w14:val="tx1"/>
                  </w14:solidFill>
                </w14:textFill>
              </w:rPr>
              <w:t>13988522583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62"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建设</w:t>
            </w:r>
          </w:p>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地点</w:t>
            </w:r>
          </w:p>
        </w:tc>
        <w:tc>
          <w:tcPr>
            <w:tcW w:w="7962" w:type="dxa"/>
            <w:gridSpan w:val="4"/>
            <w:tcBorders>
              <w:tl2br w:val="nil"/>
              <w:tr2bl w:val="nil"/>
            </w:tcBorders>
            <w:shd w:val="clear" w:color="auto" w:fill="FFFFFF"/>
            <w:noWrap w:val="0"/>
            <w:vAlign w:val="center"/>
          </w:tcPr>
          <w:p>
            <w:pPr>
              <w:adjustRightInd w:val="0"/>
              <w:snapToGrid w:val="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u w:val="single"/>
                <w:lang w:val="en-US" w:eastAsia="zh-CN"/>
                <w14:textFill>
                  <w14:solidFill>
                    <w14:schemeClr w14:val="tx1"/>
                  </w14:solidFill>
                </w14:textFill>
              </w:rPr>
              <w:t>云南</w:t>
            </w:r>
            <w:r>
              <w:rPr>
                <w:rFonts w:hint="eastAsia" w:ascii="仿宋" w:hAnsi="仿宋" w:eastAsia="仿宋" w:cs="仿宋"/>
                <w:color w:val="000000" w:themeColor="text1"/>
                <w:sz w:val="24"/>
                <w:szCs w:val="24"/>
                <w14:textFill>
                  <w14:solidFill>
                    <w14:schemeClr w14:val="tx1"/>
                  </w14:solidFill>
                </w14:textFill>
              </w:rPr>
              <w:t>省（自治区）</w:t>
            </w:r>
            <w:r>
              <w:rPr>
                <w:rFonts w:hint="eastAsia" w:ascii="仿宋" w:hAnsi="仿宋" w:eastAsia="仿宋" w:cs="仿宋"/>
                <w:color w:val="000000" w:themeColor="text1"/>
                <w:sz w:val="24"/>
                <w:szCs w:val="24"/>
                <w:u w:val="single"/>
                <w:lang w:val="en-US" w:eastAsia="zh-CN"/>
                <w14:textFill>
                  <w14:solidFill>
                    <w14:schemeClr w14:val="tx1"/>
                  </w14:solidFill>
                </w14:textFill>
              </w:rPr>
              <w:t>大理</w:t>
            </w:r>
            <w:r>
              <w:rPr>
                <w:rFonts w:hint="eastAsia" w:ascii="仿宋" w:hAnsi="仿宋" w:eastAsia="仿宋" w:cs="仿宋"/>
                <w:color w:val="000000" w:themeColor="text1"/>
                <w:sz w:val="24"/>
                <w:szCs w:val="24"/>
                <w:u w:val="none"/>
                <w:lang w:val="en-US" w:eastAsia="zh-CN"/>
                <w14:textFill>
                  <w14:solidFill>
                    <w14:schemeClr w14:val="tx1"/>
                  </w14:solidFill>
                </w14:textFill>
              </w:rPr>
              <w:t>州（</w:t>
            </w:r>
            <w:r>
              <w:rPr>
                <w:rFonts w:hint="eastAsia" w:ascii="仿宋" w:hAnsi="仿宋" w:eastAsia="仿宋" w:cs="仿宋"/>
                <w:color w:val="000000" w:themeColor="text1"/>
                <w:sz w:val="24"/>
                <w:szCs w:val="24"/>
                <w:u w:val="none"/>
                <w14:textFill>
                  <w14:solidFill>
                    <w14:schemeClr w14:val="tx1"/>
                  </w14:solidFill>
                </w14:textFill>
              </w:rPr>
              <w:t>市</w:t>
            </w:r>
            <w:r>
              <w:rPr>
                <w:rFonts w:hint="eastAsia" w:ascii="仿宋" w:hAnsi="仿宋" w:eastAsia="仿宋" w:cs="仿宋"/>
                <w:color w:val="000000" w:themeColor="text1"/>
                <w:sz w:val="24"/>
                <w:szCs w:val="24"/>
                <w:u w:val="none"/>
                <w:lang w:val="en-US" w:eastAsia="zh-CN"/>
                <w14:textFill>
                  <w14:solidFill>
                    <w14:schemeClr w14:val="tx1"/>
                  </w14:solidFill>
                </w14:textFill>
              </w:rPr>
              <w:t>）</w:t>
            </w:r>
            <w:r>
              <w:rPr>
                <w:rFonts w:hint="eastAsia" w:ascii="仿宋" w:hAnsi="仿宋" w:eastAsia="仿宋" w:cs="仿宋"/>
                <w:color w:val="000000" w:themeColor="text1"/>
                <w:sz w:val="24"/>
                <w:szCs w:val="24"/>
                <w:u w:val="single"/>
                <w:lang w:val="en-US" w:eastAsia="zh-CN"/>
                <w14:textFill>
                  <w14:solidFill>
                    <w14:schemeClr w14:val="tx1"/>
                  </w14:solidFill>
                </w14:textFill>
              </w:rPr>
              <w:t>弥渡县密祉</w:t>
            </w:r>
            <w:r>
              <w:rPr>
                <w:rFonts w:hint="eastAsia" w:ascii="仿宋" w:hAnsi="仿宋" w:eastAsia="仿宋" w:cs="仿宋"/>
                <w:color w:val="000000" w:themeColor="text1"/>
                <w:sz w:val="24"/>
                <w:szCs w:val="24"/>
                <w:u w:val="none"/>
                <w:lang w:val="en-US" w:eastAsia="zh-CN"/>
                <w14:textFill>
                  <w14:solidFill>
                    <w14:schemeClr w14:val="tx1"/>
                  </w14:solidFill>
                </w14:textFill>
              </w:rPr>
              <w:t>镇</w:t>
            </w:r>
            <w:r>
              <w:rPr>
                <w:rFonts w:hint="eastAsia" w:ascii="仿宋" w:hAnsi="仿宋" w:eastAsia="仿宋" w:cs="仿宋"/>
                <w:color w:val="000000" w:themeColor="text1"/>
                <w:sz w:val="24"/>
                <w:szCs w:val="24"/>
                <w:u w:val="none"/>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街道）</w:t>
            </w:r>
            <w:r>
              <w:rPr>
                <w:rFonts w:hint="eastAsia" w:ascii="仿宋" w:hAnsi="仿宋" w:eastAsia="仿宋" w:cs="仿宋"/>
                <w:color w:val="000000" w:themeColor="text1"/>
                <w:sz w:val="24"/>
                <w:szCs w:val="24"/>
                <w:u w:val="single"/>
                <w:lang w:val="en-US" w:eastAsia="zh-CN"/>
                <w14:textFill>
                  <w14:solidFill>
                    <w14:schemeClr w14:val="tx1"/>
                  </w14:solidFill>
                </w14:textFill>
              </w:rPr>
              <w:t>莲峰村</w:t>
            </w:r>
            <w:r>
              <w:rPr>
                <w:rFonts w:hint="eastAsia" w:ascii="仿宋" w:hAnsi="仿宋" w:eastAsia="仿宋" w:cs="仿宋"/>
                <w:color w:val="000000" w:themeColor="text1"/>
                <w:sz w:val="24"/>
                <w:szCs w:val="24"/>
                <w:u w:val="single"/>
                <w:lang w:eastAsia="zh-CN"/>
                <w14:textFill>
                  <w14:solidFill>
                    <w14:schemeClr w14:val="tx1"/>
                  </w14:solidFill>
                </w14:textFill>
              </w:rPr>
              <w:t>东侧的老鸦山</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55"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地理</w:t>
            </w:r>
          </w:p>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坐标</w:t>
            </w:r>
          </w:p>
        </w:tc>
        <w:tc>
          <w:tcPr>
            <w:tcW w:w="7962" w:type="dxa"/>
            <w:gridSpan w:val="4"/>
            <w:tcBorders>
              <w:tl2br w:val="nil"/>
              <w:tr2bl w:val="nil"/>
            </w:tcBorders>
            <w:shd w:val="clear" w:color="auto" w:fill="FFFFFF"/>
            <w:noWrap w:val="0"/>
            <w:vAlign w:val="center"/>
          </w:tcPr>
          <w:p>
            <w:pPr>
              <w:adjustRightInd w:val="0"/>
              <w:snapToGrid w:val="0"/>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u w:val="single"/>
                <w:lang w:val="en-US" w:eastAsia="zh-CN"/>
                <w14:textFill>
                  <w14:solidFill>
                    <w14:schemeClr w14:val="tx1"/>
                  </w14:solidFill>
                </w14:textFill>
              </w:rPr>
              <w:t>北纬25°09'35"～25°09'43"，东经100°32'42"～100°33'52"</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715"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建设项目行业类别</w:t>
            </w:r>
          </w:p>
        </w:tc>
        <w:tc>
          <w:tcPr>
            <w:tcW w:w="1405" w:type="dxa"/>
            <w:tcBorders>
              <w:tl2br w:val="nil"/>
              <w:tr2bl w:val="nil"/>
            </w:tcBorders>
            <w:shd w:val="clear" w:color="auto" w:fill="FFFFFF"/>
            <w:noWrap w:val="0"/>
            <w:vAlign w:val="center"/>
          </w:tcPr>
          <w:p>
            <w:pPr>
              <w:adjustRightInd w:val="0"/>
              <w:snapToGrid w:val="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u w:val="single"/>
                <w:lang w:val="en-US" w:eastAsia="zh-CN"/>
                <w14:textFill>
                  <w14:solidFill>
                    <w14:schemeClr w14:val="tx1"/>
                  </w14:solidFill>
                </w14:textFill>
              </w:rPr>
              <w:t>四十一、电力、热力生产和供应业—90、陆上风力发电4415中其他风力发电</w:t>
            </w:r>
          </w:p>
        </w:tc>
        <w:tc>
          <w:tcPr>
            <w:tcW w:w="2347" w:type="dxa"/>
            <w:tcBorders>
              <w:tl2br w:val="nil"/>
              <w:tr2bl w:val="nil"/>
            </w:tcBorders>
            <w:shd w:val="clear" w:color="auto" w:fill="FFFFFF"/>
            <w:noWrap w:val="0"/>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用地（用海）面积（</w:t>
            </w:r>
            <w:r>
              <w:rPr>
                <w:rFonts w:hint="eastAsia" w:ascii="仿宋" w:hAnsi="仿宋" w:eastAsia="仿宋" w:cs="仿宋"/>
                <w:color w:val="000000" w:themeColor="text1"/>
                <w:sz w:val="24"/>
                <w:szCs w:val="24"/>
                <w:lang w:val="en-US" w:eastAsia="zh-CN"/>
                <w14:textFill>
                  <w14:solidFill>
                    <w14:schemeClr w14:val="tx1"/>
                  </w14:solidFill>
                </w14:textFill>
              </w:rPr>
              <w:t>km</w:t>
            </w:r>
            <w:r>
              <w:rPr>
                <w:rFonts w:hint="eastAsia" w:ascii="仿宋" w:hAnsi="仿宋" w:eastAsia="仿宋" w:cs="仿宋"/>
                <w:color w:val="000000" w:themeColor="text1"/>
                <w:sz w:val="24"/>
                <w:szCs w:val="24"/>
                <w:vertAlign w:val="superscript"/>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）/长度（km）</w:t>
            </w:r>
          </w:p>
        </w:tc>
        <w:tc>
          <w:tcPr>
            <w:tcW w:w="4210" w:type="dxa"/>
            <w:gridSpan w:val="2"/>
            <w:tcBorders>
              <w:tl2br w:val="nil"/>
              <w:tr2bl w:val="nil"/>
            </w:tcBorders>
            <w:shd w:val="clear" w:color="auto" w:fill="FFFFFF"/>
            <w:noWrap w:val="0"/>
            <w:vAlign w:val="center"/>
          </w:tcPr>
          <w:p>
            <w:pPr>
              <w:adjustRightInd w:val="0"/>
              <w:snapToGrid w:val="0"/>
              <w:jc w:val="both"/>
              <w:rPr>
                <w:rFonts w:hint="eastAsia" w:ascii="仿宋" w:hAnsi="仿宋" w:eastAsia="仿宋" w:cs="仿宋"/>
                <w:color w:val="000000" w:themeColor="text1"/>
                <w:sz w:val="24"/>
                <w:szCs w:val="24"/>
                <w:vertAlign w:val="baseline"/>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项目占地面积48485.72m²，其中，永久占地面积3825.13m²，临时用地面积44660.59m²</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104"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建设</w:t>
            </w:r>
          </w:p>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性质</w:t>
            </w:r>
          </w:p>
        </w:tc>
        <w:tc>
          <w:tcPr>
            <w:tcW w:w="1405" w:type="dxa"/>
            <w:tcBorders>
              <w:tl2br w:val="nil"/>
              <w:tr2bl w:val="nil"/>
            </w:tcBorders>
            <w:shd w:val="clear" w:color="auto" w:fill="FFFFFF"/>
            <w:noWrap w:val="0"/>
            <w:vAlign w:val="center"/>
          </w:tcPr>
          <w:p>
            <w:pPr>
              <w:adjustRightInd w:val="0"/>
              <w:snapToGrid w:val="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2" w:char="0052"/>
            </w:r>
            <w:r>
              <w:rPr>
                <w:rFonts w:hint="eastAsia" w:ascii="仿宋" w:hAnsi="仿宋" w:eastAsia="仿宋" w:cs="仿宋"/>
                <w:color w:val="000000" w:themeColor="text1"/>
                <w:sz w:val="24"/>
                <w:szCs w:val="24"/>
                <w14:textFill>
                  <w14:solidFill>
                    <w14:schemeClr w14:val="tx1"/>
                  </w14:solidFill>
                </w14:textFill>
              </w:rPr>
              <w:t>新建（迁建）</w:t>
            </w:r>
          </w:p>
          <w:p>
            <w:pPr>
              <w:adjustRightInd w:val="0"/>
              <w:snapToGrid w:val="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改建</w:t>
            </w:r>
          </w:p>
          <w:p>
            <w:pPr>
              <w:adjustRightInd w:val="0"/>
              <w:snapToGrid w:val="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□扩建</w:t>
            </w:r>
          </w:p>
          <w:p>
            <w:pPr>
              <w:adjustRightInd w:val="0"/>
              <w:snapToGrid w:val="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□技术改造</w:t>
            </w:r>
          </w:p>
        </w:tc>
        <w:tc>
          <w:tcPr>
            <w:tcW w:w="2347" w:type="dxa"/>
            <w:tcBorders>
              <w:tl2br w:val="nil"/>
              <w:tr2bl w:val="nil"/>
            </w:tcBorders>
            <w:shd w:val="clear" w:color="auto" w:fill="FFFFFF"/>
            <w:noWrap w:val="0"/>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建设项目</w:t>
            </w:r>
          </w:p>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申报情形</w:t>
            </w:r>
          </w:p>
        </w:tc>
        <w:tc>
          <w:tcPr>
            <w:tcW w:w="4210" w:type="dxa"/>
            <w:gridSpan w:val="2"/>
            <w:tcBorders>
              <w:tl2br w:val="nil"/>
              <w:tr2bl w:val="nil"/>
            </w:tcBorders>
            <w:shd w:val="clear" w:color="auto" w:fill="FFFFFF"/>
            <w:noWrap w:val="0"/>
            <w:vAlign w:val="center"/>
          </w:tcPr>
          <w:p>
            <w:pPr>
              <w:adjustRightInd w:val="0"/>
              <w:snapToGrid w:val="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2" w:char="0052"/>
            </w:r>
            <w:r>
              <w:rPr>
                <w:rFonts w:hint="eastAsia" w:ascii="仿宋" w:hAnsi="仿宋" w:eastAsia="仿宋" w:cs="仿宋"/>
                <w:color w:val="000000" w:themeColor="text1"/>
                <w:sz w:val="24"/>
                <w:szCs w:val="24"/>
                <w14:textFill>
                  <w14:solidFill>
                    <w14:schemeClr w14:val="tx1"/>
                  </w14:solidFill>
                </w14:textFill>
              </w:rPr>
              <w:t>首次申报项目</w:t>
            </w:r>
          </w:p>
          <w:p>
            <w:pPr>
              <w:adjustRightInd w:val="0"/>
              <w:snapToGrid w:val="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□不予批准后再次申报项目</w:t>
            </w:r>
          </w:p>
          <w:p>
            <w:pPr>
              <w:adjustRightInd w:val="0"/>
              <w:snapToGrid w:val="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□超五年重新审核项目</w:t>
            </w:r>
          </w:p>
          <w:p>
            <w:pPr>
              <w:adjustRightInd w:val="0"/>
              <w:snapToGrid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□重大变动重新报批项目</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762"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项目审批（核准/</w:t>
            </w:r>
          </w:p>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备案）部门（选填）</w:t>
            </w:r>
          </w:p>
        </w:tc>
        <w:tc>
          <w:tcPr>
            <w:tcW w:w="1405" w:type="dxa"/>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2347" w:type="dxa"/>
            <w:tcBorders>
              <w:tl2br w:val="nil"/>
              <w:tr2bl w:val="nil"/>
            </w:tcBorders>
            <w:shd w:val="clear" w:color="auto" w:fill="FFFFFF"/>
            <w:noWrap w:val="0"/>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项目审批（核准/</w:t>
            </w:r>
          </w:p>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备案）文号（选填）</w:t>
            </w:r>
          </w:p>
        </w:tc>
        <w:tc>
          <w:tcPr>
            <w:tcW w:w="4210" w:type="dxa"/>
            <w:gridSpan w:val="2"/>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55"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总投资（万元）</w:t>
            </w:r>
          </w:p>
        </w:tc>
        <w:tc>
          <w:tcPr>
            <w:tcW w:w="1405" w:type="dxa"/>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13336.48</w:t>
            </w:r>
          </w:p>
        </w:tc>
        <w:tc>
          <w:tcPr>
            <w:tcW w:w="2347"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环保投资（万元）</w:t>
            </w:r>
          </w:p>
        </w:tc>
        <w:tc>
          <w:tcPr>
            <w:tcW w:w="4210" w:type="dxa"/>
            <w:gridSpan w:val="2"/>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148.3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364"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环保投资占比（%）</w:t>
            </w:r>
          </w:p>
        </w:tc>
        <w:tc>
          <w:tcPr>
            <w:tcW w:w="1405" w:type="dxa"/>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1.11</w:t>
            </w:r>
          </w:p>
        </w:tc>
        <w:tc>
          <w:tcPr>
            <w:tcW w:w="2347"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施工工期</w:t>
            </w:r>
          </w:p>
        </w:tc>
        <w:tc>
          <w:tcPr>
            <w:tcW w:w="4210" w:type="dxa"/>
            <w:gridSpan w:val="2"/>
            <w:tcBorders>
              <w:tl2br w:val="nil"/>
              <w:tr2bl w:val="nil"/>
            </w:tcBorders>
            <w:shd w:val="clear" w:color="auto" w:fill="FFFFFF"/>
            <w:noWrap w:val="0"/>
            <w:vAlign w:val="center"/>
          </w:tcPr>
          <w:p>
            <w:pPr>
              <w:adjustRightInd w:val="0"/>
              <w:snapToGrid w:val="0"/>
              <w:jc w:val="center"/>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4个月</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911" w:hRule="atLeast"/>
        </w:trPr>
        <w:tc>
          <w:tcPr>
            <w:tcW w:w="892" w:type="dxa"/>
            <w:tcBorders>
              <w:tl2br w:val="nil"/>
              <w:tr2bl w:val="nil"/>
            </w:tcBorders>
            <w:shd w:val="clear" w:color="auto" w:fill="FFFFFF"/>
            <w:noWrap w:val="0"/>
            <w:tcMar>
              <w:top w:w="16" w:type="dxa"/>
              <w:left w:w="16" w:type="dxa"/>
              <w:right w:w="16" w:type="dxa"/>
            </w:tcMar>
            <w:vAlign w:val="center"/>
          </w:tcPr>
          <w:p>
            <w:pPr>
              <w:adjustRightInd w:val="0"/>
              <w:snapToGrid w:val="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是否开工建设</w:t>
            </w:r>
          </w:p>
        </w:tc>
        <w:tc>
          <w:tcPr>
            <w:tcW w:w="7962" w:type="dxa"/>
            <w:gridSpan w:val="4"/>
            <w:tcBorders>
              <w:tl2br w:val="nil"/>
              <w:tr2bl w:val="nil"/>
            </w:tcBorders>
            <w:shd w:val="clear" w:color="auto" w:fill="FFFFFF"/>
            <w:noWrap w:val="0"/>
            <w:vAlign w:val="center"/>
          </w:tcPr>
          <w:p>
            <w:pPr>
              <w:adjustRightInd w:val="0"/>
              <w:snapToGrid w:val="0"/>
              <w:ind w:firstLine="105"/>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sym w:font="Wingdings 2" w:char="0052"/>
            </w:r>
            <w:r>
              <w:rPr>
                <w:rFonts w:hint="eastAsia" w:ascii="仿宋" w:hAnsi="仿宋" w:eastAsia="仿宋" w:cs="仿宋"/>
                <w:color w:val="000000" w:themeColor="text1"/>
                <w:sz w:val="24"/>
                <w:szCs w:val="24"/>
                <w14:textFill>
                  <w14:solidFill>
                    <w14:schemeClr w14:val="tx1"/>
                  </w14:solidFill>
                </w14:textFill>
              </w:rPr>
              <w:t>否</w:t>
            </w:r>
          </w:p>
          <w:p>
            <w:pPr>
              <w:adjustRightInd w:val="0"/>
              <w:snapToGrid w:val="0"/>
              <w:ind w:firstLine="92"/>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□是：</w:t>
            </w:r>
            <w:r>
              <w:rPr>
                <w:rFonts w:hint="eastAsia" w:ascii="仿宋" w:hAnsi="仿宋" w:eastAsia="仿宋" w:cs="仿宋"/>
                <w:color w:val="000000" w:themeColor="text1"/>
                <w:sz w:val="24"/>
                <w:szCs w:val="24"/>
                <w:u w:val="single"/>
                <w14:textFill>
                  <w14:solidFill>
                    <w14:schemeClr w14:val="tx1"/>
                  </w14:solidFill>
                </w14:textFill>
              </w:rPr>
              <w:t xml:space="preserve">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911" w:hRule="atLeast"/>
        </w:trPr>
        <w:tc>
          <w:tcPr>
            <w:tcW w:w="892" w:type="dxa"/>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专项评价设置情况</w:t>
            </w:r>
          </w:p>
        </w:tc>
        <w:tc>
          <w:tcPr>
            <w:tcW w:w="7962" w:type="dxa"/>
            <w:gridSpan w:val="4"/>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一、根据《建设项目环境影响报告表编制技术指南（生态影响类）（试行）》，项目与专项评价设置原则对照情况见下表1-1。</w:t>
            </w:r>
          </w:p>
          <w:p>
            <w:pPr>
              <w:pStyle w:val="57"/>
              <w:bidi w:val="0"/>
              <w:rPr>
                <w:rFonts w:hint="eastAsia" w:ascii="仿宋" w:hAnsi="仿宋" w:eastAsia="仿宋" w:cs="仿宋"/>
                <w:color w:val="000000" w:themeColor="text1"/>
                <w:sz w:val="21"/>
                <w:szCs w:val="21"/>
                <w14:textFill>
                  <w14:solidFill>
                    <w14:schemeClr w14:val="tx1"/>
                  </w14:solidFill>
                </w14:textFill>
              </w:rPr>
            </w:pPr>
            <w:bookmarkStart w:id="3" w:name="_Toc5721"/>
            <w:r>
              <w:rPr>
                <w:rFonts w:hint="eastAsia" w:ascii="仿宋" w:hAnsi="仿宋" w:eastAsia="仿宋" w:cs="仿宋"/>
                <w:color w:val="000000" w:themeColor="text1"/>
                <w:sz w:val="21"/>
                <w:szCs w:val="21"/>
                <w14:textFill>
                  <w14:solidFill>
                    <w14:schemeClr w14:val="tx1"/>
                  </w14:solidFill>
                </w14:textFill>
              </w:rPr>
              <w:t>表1-1专项评价设置原则表</w:t>
            </w:r>
            <w:bookmarkEnd w:id="3"/>
          </w:p>
          <w:tbl>
            <w:tblPr>
              <w:tblStyle w:val="24"/>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3275"/>
              <w:gridCol w:w="2662"/>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类别</w:t>
                  </w:r>
                </w:p>
              </w:tc>
              <w:tc>
                <w:tcPr>
                  <w:tcW w:w="2084"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涉及项目类别</w:t>
                  </w:r>
                </w:p>
              </w:tc>
              <w:tc>
                <w:tcPr>
                  <w:tcW w:w="1695"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本项目情况</w:t>
                  </w:r>
                </w:p>
              </w:tc>
              <w:tc>
                <w:tcPr>
                  <w:tcW w:w="741"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地表水</w:t>
                  </w:r>
                </w:p>
              </w:tc>
              <w:tc>
                <w:tcPr>
                  <w:tcW w:w="2084" w:type="pct"/>
                  <w:noWrap w:val="0"/>
                  <w:vAlign w:val="center"/>
                </w:tcPr>
                <w:p>
                  <w:pPr>
                    <w:pStyle w:val="58"/>
                    <w:bidi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水力发电：引水式发电、涉及调峰发电的项目；人工湖、人工湿地：全部；水库：全部；</w:t>
                  </w:r>
                  <w:r>
                    <w:rPr>
                      <w:rFonts w:hint="eastAsia" w:ascii="仿宋" w:hAnsi="仿宋" w:eastAsia="仿宋" w:cs="仿宋"/>
                      <w:bCs/>
                      <w:color w:val="000000" w:themeColor="text1"/>
                      <w:spacing w:val="-11"/>
                      <w:sz w:val="21"/>
                      <w:szCs w:val="21"/>
                      <w14:textFill>
                        <w14:solidFill>
                          <w14:schemeClr w14:val="tx1"/>
                        </w14:solidFill>
                      </w14:textFill>
                    </w:rPr>
                    <w:t>引水工程：全部（配套的管线工程等除外）；</w:t>
                  </w:r>
                  <w:r>
                    <w:rPr>
                      <w:rFonts w:hint="eastAsia" w:ascii="仿宋" w:hAnsi="仿宋" w:eastAsia="仿宋" w:cs="仿宋"/>
                      <w:color w:val="000000" w:themeColor="text1"/>
                      <w:sz w:val="21"/>
                      <w:szCs w:val="21"/>
                      <w14:textFill>
                        <w14:solidFill>
                          <w14:schemeClr w14:val="tx1"/>
                        </w14:solidFill>
                      </w14:textFill>
                    </w:rPr>
                    <w:t>防洪除涝工程：包含水库的项目；河湖整治：涉及清淤且底泥存在重金属污染的项目</w:t>
                  </w:r>
                </w:p>
              </w:tc>
              <w:tc>
                <w:tcPr>
                  <w:tcW w:w="1695"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本</w:t>
                  </w:r>
                  <w:r>
                    <w:rPr>
                      <w:rFonts w:hint="eastAsia" w:ascii="仿宋" w:hAnsi="仿宋" w:eastAsia="仿宋" w:cs="仿宋"/>
                      <w:color w:val="000000" w:themeColor="text1"/>
                      <w:sz w:val="21"/>
                      <w:szCs w:val="21"/>
                      <w14:textFill>
                        <w14:solidFill>
                          <w14:schemeClr w14:val="tx1"/>
                        </w14:solidFill>
                      </w14:textFill>
                    </w:rPr>
                    <w:t>项目为</w:t>
                  </w:r>
                  <w:r>
                    <w:rPr>
                      <w:rFonts w:hint="eastAsia" w:ascii="仿宋" w:hAnsi="仿宋" w:eastAsia="仿宋" w:cs="仿宋"/>
                      <w:color w:val="000000" w:themeColor="text1"/>
                      <w:sz w:val="21"/>
                      <w:szCs w:val="21"/>
                      <w:lang w:eastAsia="zh-CN"/>
                      <w14:textFill>
                        <w14:solidFill>
                          <w14:schemeClr w14:val="tx1"/>
                        </w14:solidFill>
                      </w14:textFill>
                    </w:rPr>
                    <w:t>陆上</w:t>
                  </w:r>
                  <w:r>
                    <w:rPr>
                      <w:rFonts w:hint="eastAsia" w:ascii="仿宋" w:hAnsi="仿宋" w:eastAsia="仿宋" w:cs="仿宋"/>
                      <w:color w:val="000000" w:themeColor="text1"/>
                      <w:sz w:val="21"/>
                      <w:szCs w:val="21"/>
                      <w:lang w:val="en-US" w:eastAsia="zh-CN"/>
                      <w14:textFill>
                        <w14:solidFill>
                          <w14:schemeClr w14:val="tx1"/>
                        </w14:solidFill>
                      </w14:textFill>
                    </w:rPr>
                    <w:t>风力</w:t>
                  </w:r>
                  <w:r>
                    <w:rPr>
                      <w:rFonts w:hint="eastAsia" w:ascii="仿宋" w:hAnsi="仿宋" w:eastAsia="仿宋" w:cs="仿宋"/>
                      <w:color w:val="000000" w:themeColor="text1"/>
                      <w:sz w:val="21"/>
                      <w:szCs w:val="21"/>
                      <w14:textFill>
                        <w14:solidFill>
                          <w14:schemeClr w14:val="tx1"/>
                        </w14:solidFill>
                      </w14:textFill>
                    </w:rPr>
                    <w:t>发电项目，</w:t>
                  </w:r>
                  <w:r>
                    <w:rPr>
                      <w:rFonts w:hint="eastAsia" w:ascii="仿宋" w:hAnsi="仿宋" w:eastAsia="仿宋" w:cs="仿宋"/>
                      <w:color w:val="000000" w:themeColor="text1"/>
                      <w:sz w:val="21"/>
                      <w:szCs w:val="21"/>
                      <w:lang w:val="en-US" w:eastAsia="zh-CN"/>
                      <w14:textFill>
                        <w14:solidFill>
                          <w14:schemeClr w14:val="tx1"/>
                        </w14:solidFill>
                      </w14:textFill>
                    </w:rPr>
                    <w:t>不属于地表水专项的项目类别</w:t>
                  </w:r>
                  <w:r>
                    <w:rPr>
                      <w:rFonts w:hint="eastAsia" w:ascii="仿宋" w:hAnsi="仿宋" w:eastAsia="仿宋" w:cs="仿宋"/>
                      <w:color w:val="000000" w:themeColor="text1"/>
                      <w:sz w:val="21"/>
                      <w:szCs w:val="21"/>
                      <w14:textFill>
                        <w14:solidFill>
                          <w14:schemeClr w14:val="tx1"/>
                        </w14:solidFill>
                      </w14:textFill>
                    </w:rPr>
                    <w:t>。</w:t>
                  </w:r>
                </w:p>
              </w:tc>
              <w:tc>
                <w:tcPr>
                  <w:tcW w:w="7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地下水</w:t>
                  </w:r>
                </w:p>
              </w:tc>
              <w:tc>
                <w:tcPr>
                  <w:tcW w:w="2084" w:type="pct"/>
                  <w:noWrap w:val="0"/>
                  <w:vAlign w:val="center"/>
                </w:tcPr>
                <w:p>
                  <w:pPr>
                    <w:pStyle w:val="58"/>
                    <w:bidi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陆地石油和天然气开采：全部；地下水（含矿泉水）开采：全部；水利、水电、交通等：含穿越可溶岩地层隧道的项目</w:t>
                  </w:r>
                </w:p>
              </w:tc>
              <w:tc>
                <w:tcPr>
                  <w:tcW w:w="1695"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本</w:t>
                  </w:r>
                  <w:r>
                    <w:rPr>
                      <w:rFonts w:hint="eastAsia" w:ascii="仿宋" w:hAnsi="仿宋" w:eastAsia="仿宋" w:cs="仿宋"/>
                      <w:color w:val="000000" w:themeColor="text1"/>
                      <w:sz w:val="21"/>
                      <w:szCs w:val="21"/>
                      <w14:textFill>
                        <w14:solidFill>
                          <w14:schemeClr w14:val="tx1"/>
                        </w14:solidFill>
                      </w14:textFill>
                    </w:rPr>
                    <w:t>项目为</w:t>
                  </w:r>
                  <w:r>
                    <w:rPr>
                      <w:rFonts w:hint="eastAsia" w:ascii="仿宋" w:hAnsi="仿宋" w:eastAsia="仿宋" w:cs="仿宋"/>
                      <w:color w:val="000000" w:themeColor="text1"/>
                      <w:sz w:val="21"/>
                      <w:szCs w:val="21"/>
                      <w:lang w:eastAsia="zh-CN"/>
                      <w14:textFill>
                        <w14:solidFill>
                          <w14:schemeClr w14:val="tx1"/>
                        </w14:solidFill>
                      </w14:textFill>
                    </w:rPr>
                    <w:t>陆上</w:t>
                  </w:r>
                  <w:r>
                    <w:rPr>
                      <w:rFonts w:hint="eastAsia" w:ascii="仿宋" w:hAnsi="仿宋" w:eastAsia="仿宋" w:cs="仿宋"/>
                      <w:color w:val="000000" w:themeColor="text1"/>
                      <w:sz w:val="21"/>
                      <w:szCs w:val="21"/>
                      <w:lang w:val="en-US" w:eastAsia="zh-CN"/>
                      <w14:textFill>
                        <w14:solidFill>
                          <w14:schemeClr w14:val="tx1"/>
                        </w14:solidFill>
                      </w14:textFill>
                    </w:rPr>
                    <w:t>风力</w:t>
                  </w:r>
                  <w:r>
                    <w:rPr>
                      <w:rFonts w:hint="eastAsia" w:ascii="仿宋" w:hAnsi="仿宋" w:eastAsia="仿宋" w:cs="仿宋"/>
                      <w:color w:val="000000" w:themeColor="text1"/>
                      <w:sz w:val="21"/>
                      <w:szCs w:val="21"/>
                      <w14:textFill>
                        <w14:solidFill>
                          <w14:schemeClr w14:val="tx1"/>
                        </w14:solidFill>
                      </w14:textFill>
                    </w:rPr>
                    <w:t>发电项目，</w:t>
                  </w:r>
                  <w:r>
                    <w:rPr>
                      <w:rFonts w:hint="eastAsia" w:ascii="仿宋" w:hAnsi="仿宋" w:eastAsia="仿宋" w:cs="仿宋"/>
                      <w:color w:val="000000" w:themeColor="text1"/>
                      <w:sz w:val="21"/>
                      <w:szCs w:val="21"/>
                      <w:lang w:val="en-US" w:eastAsia="zh-CN"/>
                      <w14:textFill>
                        <w14:solidFill>
                          <w14:schemeClr w14:val="tx1"/>
                        </w14:solidFill>
                      </w14:textFill>
                    </w:rPr>
                    <w:t>不属于地下水专项的项目类别</w:t>
                  </w:r>
                  <w:r>
                    <w:rPr>
                      <w:rFonts w:hint="eastAsia" w:ascii="仿宋" w:hAnsi="仿宋" w:eastAsia="仿宋" w:cs="仿宋"/>
                      <w:color w:val="000000" w:themeColor="text1"/>
                      <w:sz w:val="21"/>
                      <w:szCs w:val="21"/>
                      <w14:textFill>
                        <w14:solidFill>
                          <w14:schemeClr w14:val="tx1"/>
                        </w14:solidFill>
                      </w14:textFill>
                    </w:rPr>
                    <w:t>。</w:t>
                  </w:r>
                </w:p>
              </w:tc>
              <w:tc>
                <w:tcPr>
                  <w:tcW w:w="7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生态</w:t>
                  </w:r>
                </w:p>
              </w:tc>
              <w:tc>
                <w:tcPr>
                  <w:tcW w:w="2084" w:type="pct"/>
                  <w:noWrap w:val="0"/>
                  <w:vAlign w:val="center"/>
                </w:tcPr>
                <w:p>
                  <w:pPr>
                    <w:pStyle w:val="58"/>
                    <w:bidi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涉及环境敏感区（不包括饮用水水源保护区，以居住、医疗卫生、文化教育、科研、行政办公为主要功能的区域，以及文物保护单位）的项目</w:t>
                  </w:r>
                </w:p>
              </w:tc>
              <w:tc>
                <w:tcPr>
                  <w:tcW w:w="1695" w:type="pct"/>
                  <w:noWrap w:val="0"/>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根据《建设项目环境影响评价分类管理名录（</w:t>
                  </w:r>
                  <w:r>
                    <w:rPr>
                      <w:rFonts w:hint="default" w:ascii="仿宋" w:hAnsi="仿宋" w:eastAsia="仿宋" w:cs="仿宋"/>
                      <w:color w:val="000000" w:themeColor="text1"/>
                      <w:sz w:val="21"/>
                      <w:szCs w:val="21"/>
                      <w:lang w:val="en-US" w:eastAsia="zh-CN"/>
                      <w14:textFill>
                        <w14:solidFill>
                          <w14:schemeClr w14:val="tx1"/>
                        </w14:solidFill>
                      </w14:textFill>
                    </w:rPr>
                    <w:t>2021</w:t>
                  </w:r>
                  <w:r>
                    <w:rPr>
                      <w:rFonts w:hint="eastAsia" w:ascii="仿宋" w:hAnsi="仿宋" w:eastAsia="仿宋" w:cs="仿宋"/>
                      <w:color w:val="000000" w:themeColor="text1"/>
                      <w:sz w:val="21"/>
                      <w:szCs w:val="21"/>
                      <w:lang w:val="en-US" w:eastAsia="zh-CN"/>
                      <w14:textFill>
                        <w14:solidFill>
                          <w14:schemeClr w14:val="tx1"/>
                        </w14:solidFill>
                      </w14:textFill>
                    </w:rPr>
                    <w:t>年版）》，陆上风力发电的环境敏感区包括第三条（一）中的全部区域（国家公园、自然保护区、风景名胜区、世界文化和自然遗产地、海洋特别保护区、饮用水水源保护区）；第三条（三）中的全部区域（以居住、医疗卫生、文化教育、科研、行政办公为主要功能的区域，以及文物保护单位），本项目评价范围内无国家公园、自然保护区、风景名胜区、世界文化和自然遗产地、海洋特别保护区，不属于生态专项的项目类别</w:t>
                  </w:r>
                </w:p>
              </w:tc>
              <w:tc>
                <w:tcPr>
                  <w:tcW w:w="7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大气</w:t>
                  </w:r>
                </w:p>
              </w:tc>
              <w:tc>
                <w:tcPr>
                  <w:tcW w:w="2084" w:type="pct"/>
                  <w:noWrap w:val="0"/>
                  <w:vAlign w:val="center"/>
                </w:tcPr>
                <w:p>
                  <w:pPr>
                    <w:pStyle w:val="58"/>
                    <w:bidi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油气、液体化工码头：全部；干散货（含煤炭、矿石）、件杂、多用途、通用码头：涉及粉尘、挥发性有机物排放的项目</w:t>
                  </w:r>
                </w:p>
              </w:tc>
              <w:tc>
                <w:tcPr>
                  <w:tcW w:w="1695"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项目不属于油气、液体化工码头，不涉及干散货（含煤炭、矿石）、件杂、多用途、通用码头等项目。</w:t>
                  </w:r>
                </w:p>
              </w:tc>
              <w:tc>
                <w:tcPr>
                  <w:tcW w:w="7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噪声</w:t>
                  </w:r>
                </w:p>
              </w:tc>
              <w:tc>
                <w:tcPr>
                  <w:tcW w:w="2084" w:type="pct"/>
                  <w:noWrap w:val="0"/>
                  <w:vAlign w:val="center"/>
                </w:tcPr>
                <w:p>
                  <w:pPr>
                    <w:pStyle w:val="58"/>
                    <w:bidi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公路、铁路、机场等交通运输业涉及环境敏感区（以居住、医疗卫生、文化教育、科研、行政办公为主要功能的区域）的项目；城市道路（不含维护，不含支路、人行天桥、人行地道）：全部</w:t>
                  </w:r>
                </w:p>
              </w:tc>
              <w:tc>
                <w:tcPr>
                  <w:tcW w:w="1695"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项目不属于公路、铁路、机场等交通运输业和建设城市道路</w:t>
                  </w:r>
                  <w:r>
                    <w:rPr>
                      <w:rFonts w:hint="eastAsia" w:ascii="仿宋" w:hAnsi="仿宋" w:eastAsia="仿宋" w:cs="仿宋"/>
                      <w:color w:val="000000" w:themeColor="text1"/>
                      <w:sz w:val="21"/>
                      <w:szCs w:val="21"/>
                      <w:lang w:val="en-US" w:eastAsia="zh-CN"/>
                      <w14:textFill>
                        <w14:solidFill>
                          <w14:schemeClr w14:val="tx1"/>
                        </w14:solidFill>
                      </w14:textFill>
                    </w:rPr>
                    <w:t>等行业</w:t>
                  </w:r>
                  <w:r>
                    <w:rPr>
                      <w:rFonts w:hint="eastAsia" w:ascii="仿宋" w:hAnsi="仿宋" w:eastAsia="仿宋" w:cs="仿宋"/>
                      <w:color w:val="000000" w:themeColor="text1"/>
                      <w:sz w:val="21"/>
                      <w:szCs w:val="21"/>
                      <w14:textFill>
                        <w14:solidFill>
                          <w14:schemeClr w14:val="tx1"/>
                        </w14:solidFill>
                      </w14:textFill>
                    </w:rPr>
                    <w:t>。</w:t>
                  </w:r>
                </w:p>
              </w:tc>
              <w:tc>
                <w:tcPr>
                  <w:tcW w:w="7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环境风险</w:t>
                  </w:r>
                </w:p>
              </w:tc>
              <w:tc>
                <w:tcPr>
                  <w:tcW w:w="2084" w:type="pct"/>
                  <w:noWrap w:val="0"/>
                  <w:vAlign w:val="center"/>
                </w:tcPr>
                <w:p>
                  <w:pPr>
                    <w:pStyle w:val="58"/>
                    <w:bidi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石油和天然气开采：全部；油气、液体化工码头：全部；原油、成品油、天然气管线（不含城镇天然气管线、企业厂区内管线），危险化学品输送管线（不含企业厂区内管线）：全部</w:t>
                  </w:r>
                </w:p>
              </w:tc>
              <w:tc>
                <w:tcPr>
                  <w:tcW w:w="1695"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项目为</w:t>
                  </w:r>
                  <w:r>
                    <w:rPr>
                      <w:rFonts w:hint="eastAsia" w:ascii="仿宋" w:hAnsi="仿宋" w:eastAsia="仿宋" w:cs="仿宋"/>
                      <w:color w:val="000000" w:themeColor="text1"/>
                      <w:sz w:val="21"/>
                      <w:szCs w:val="21"/>
                      <w:lang w:eastAsia="zh-CN"/>
                      <w14:textFill>
                        <w14:solidFill>
                          <w14:schemeClr w14:val="tx1"/>
                        </w14:solidFill>
                      </w14:textFill>
                    </w:rPr>
                    <w:t>陆上</w:t>
                  </w:r>
                  <w:r>
                    <w:rPr>
                      <w:rFonts w:hint="eastAsia" w:ascii="仿宋" w:hAnsi="仿宋" w:eastAsia="仿宋" w:cs="仿宋"/>
                      <w:color w:val="000000" w:themeColor="text1"/>
                      <w:sz w:val="21"/>
                      <w:szCs w:val="21"/>
                      <w:lang w:val="en-US" w:eastAsia="zh-CN"/>
                      <w14:textFill>
                        <w14:solidFill>
                          <w14:schemeClr w14:val="tx1"/>
                        </w14:solidFill>
                      </w14:textFill>
                    </w:rPr>
                    <w:t>风力</w:t>
                  </w:r>
                  <w:r>
                    <w:rPr>
                      <w:rFonts w:hint="eastAsia" w:ascii="仿宋" w:hAnsi="仿宋" w:eastAsia="仿宋" w:cs="仿宋"/>
                      <w:color w:val="000000" w:themeColor="text1"/>
                      <w:sz w:val="21"/>
                      <w:szCs w:val="21"/>
                      <w14:textFill>
                        <w14:solidFill>
                          <w14:schemeClr w14:val="tx1"/>
                        </w14:solidFill>
                      </w14:textFill>
                    </w:rPr>
                    <w:t>发电项目，不属于石油和天然气开采，不涉及油气、液体化工码头，不涉及原油、成品油、天然气管</w:t>
                  </w:r>
                  <w:r>
                    <w:rPr>
                      <w:rFonts w:hint="eastAsia" w:ascii="仿宋" w:hAnsi="仿宋" w:eastAsia="仿宋" w:cs="仿宋"/>
                      <w:bCs/>
                      <w:color w:val="000000" w:themeColor="text1"/>
                      <w:spacing w:val="-11"/>
                      <w:sz w:val="21"/>
                      <w:szCs w:val="21"/>
                      <w14:textFill>
                        <w14:solidFill>
                          <w14:schemeClr w14:val="tx1"/>
                        </w14:solidFill>
                      </w14:textFill>
                    </w:rPr>
                    <w:t>线、危险化学品输送管线。</w:t>
                  </w:r>
                </w:p>
              </w:tc>
              <w:tc>
                <w:tcPr>
                  <w:tcW w:w="7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pPr>
                    <w:pStyle w:val="58"/>
                    <w:bidi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bookmarkStart w:id="4" w:name="OLE_LINK66"/>
            <w:r>
              <w:rPr>
                <w:rFonts w:hint="eastAsia" w:ascii="仿宋" w:hAnsi="仿宋" w:eastAsia="仿宋" w:cs="仿宋"/>
                <w:color w:val="000000" w:themeColor="text1"/>
                <w:spacing w:val="-11"/>
                <w:sz w:val="24"/>
                <w:szCs w:val="24"/>
                <w:lang w:val="en-US" w:eastAsia="zh-CN"/>
                <w14:textFill>
                  <w14:solidFill>
                    <w14:schemeClr w14:val="tx1"/>
                  </w14:solidFill>
                </w14:textFill>
              </w:rPr>
              <w:t>二、根据《环境影响评价技术导则 输变电》（HJ24-2020）及《电磁环境控制限值》（GB8702-2014），110kV及以上电压等级的交流输变电项目应开展电磁辐射影响，本项目35kV集电线路及风机区属于豁免范围内。因此，无需设置电磁辐射环境影响专项评价。</w:t>
            </w:r>
          </w:p>
          <w:bookmarkEnd w:id="4"/>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综上所述，本项目无需设置环境影响专项评价。</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90" w:hRule="atLeast"/>
        </w:trPr>
        <w:tc>
          <w:tcPr>
            <w:tcW w:w="892" w:type="dxa"/>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规划情况</w:t>
            </w:r>
          </w:p>
        </w:tc>
        <w:tc>
          <w:tcPr>
            <w:tcW w:w="7962" w:type="dxa"/>
            <w:gridSpan w:val="4"/>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spacing w:line="360" w:lineRule="auto"/>
              <w:ind w:firstLine="438"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b/>
                <w:bCs/>
                <w:color w:val="000000" w:themeColor="text1"/>
                <w:spacing w:val="-11"/>
                <w:sz w:val="24"/>
                <w:szCs w:val="24"/>
                <w:lang w:val="en-US" w:eastAsia="zh-CN"/>
                <w14:textFill>
                  <w14:solidFill>
                    <w14:schemeClr w14:val="tx1"/>
                  </w14:solidFill>
                </w14:textFill>
              </w:rPr>
              <w:t>一、云南省绿色能源发展“十四五”规划</w:t>
            </w: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规划名称：《云南省绿色能源发展“十四五”规划》。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审批机关：云南省人民政府办公厅。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审批文件名：云南省人民政府办公厅关于印发云南省绿色能源发展“十四五”规划的通知。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审批文号：云政办发〔</w:t>
            </w:r>
            <w:r>
              <w:rPr>
                <w:rFonts w:hint="default" w:ascii="仿宋" w:hAnsi="仿宋" w:eastAsia="仿宋" w:cs="仿宋"/>
                <w:color w:val="000000" w:themeColor="text1"/>
                <w:spacing w:val="-11"/>
                <w:sz w:val="24"/>
                <w:szCs w:val="24"/>
                <w:lang w:val="en-US" w:eastAsia="zh-CN"/>
                <w14:textFill>
                  <w14:solidFill>
                    <w14:schemeClr w14:val="tx1"/>
                  </w14:solidFill>
                </w14:textFill>
              </w:rPr>
              <w:t>2022</w:t>
            </w:r>
            <w:r>
              <w:rPr>
                <w:rFonts w:hint="eastAsia" w:ascii="仿宋" w:hAnsi="仿宋" w:eastAsia="仿宋" w:cs="仿宋"/>
                <w:color w:val="000000" w:themeColor="text1"/>
                <w:spacing w:val="-11"/>
                <w:sz w:val="24"/>
                <w:szCs w:val="24"/>
                <w:lang w:val="en-US" w:eastAsia="zh-CN"/>
                <w14:textFill>
                  <w14:solidFill>
                    <w14:schemeClr w14:val="tx1"/>
                  </w14:solidFill>
                </w14:textFill>
              </w:rPr>
              <w:t>〕</w:t>
            </w:r>
            <w:r>
              <w:rPr>
                <w:rFonts w:hint="default" w:ascii="仿宋" w:hAnsi="仿宋" w:eastAsia="仿宋" w:cs="仿宋"/>
                <w:color w:val="000000" w:themeColor="text1"/>
                <w:spacing w:val="-11"/>
                <w:sz w:val="24"/>
                <w:szCs w:val="24"/>
                <w:lang w:val="en-US" w:eastAsia="zh-CN"/>
                <w14:textFill>
                  <w14:solidFill>
                    <w14:schemeClr w14:val="tx1"/>
                  </w14:solidFill>
                </w14:textFill>
              </w:rPr>
              <w:t>99</w:t>
            </w:r>
            <w:r>
              <w:rPr>
                <w:rFonts w:hint="eastAsia" w:ascii="仿宋" w:hAnsi="仿宋" w:eastAsia="仿宋" w:cs="仿宋"/>
                <w:color w:val="000000" w:themeColor="text1"/>
                <w:spacing w:val="-11"/>
                <w:sz w:val="24"/>
                <w:szCs w:val="24"/>
                <w:lang w:val="en-US" w:eastAsia="zh-CN"/>
                <w14:textFill>
                  <w14:solidFill>
                    <w14:schemeClr w14:val="tx1"/>
                  </w14:solidFill>
                </w14:textFill>
              </w:rPr>
              <w:t>号。</w:t>
            </w:r>
          </w:p>
          <w:p>
            <w:pPr>
              <w:autoSpaceDE w:val="0"/>
              <w:autoSpaceDN w:val="0"/>
              <w:adjustRightInd w:val="0"/>
              <w:snapToGrid w:val="0"/>
              <w:spacing w:line="360" w:lineRule="auto"/>
              <w:ind w:firstLine="438"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b/>
                <w:bCs/>
                <w:color w:val="000000" w:themeColor="text1"/>
                <w:spacing w:val="-11"/>
                <w:sz w:val="24"/>
                <w:szCs w:val="24"/>
                <w:lang w:val="en-US" w:eastAsia="zh-CN"/>
                <w14:textFill>
                  <w14:solidFill>
                    <w14:schemeClr w14:val="tx1"/>
                  </w14:solidFill>
                </w14:textFill>
              </w:rPr>
              <w:t>二、《大理州能源发展“十四五”规划》</w:t>
            </w: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规划名称：《大理州能源发展“十四五”规划》</w:t>
            </w:r>
            <w:r>
              <w:rPr>
                <w:rFonts w:hint="default" w:ascii="仿宋" w:hAnsi="仿宋" w:eastAsia="仿宋" w:cs="仿宋"/>
                <w:color w:val="000000" w:themeColor="text1"/>
                <w:spacing w:val="-11"/>
                <w:sz w:val="24"/>
                <w:szCs w:val="24"/>
                <w:lang w:val="en-US" w:eastAsia="zh-CN"/>
                <w14:textFill>
                  <w14:solidFill>
                    <w14:schemeClr w14:val="tx1"/>
                  </w14:solidFill>
                </w14:textFill>
              </w:rPr>
              <w:t xml:space="preserve">- 4 -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发布机关：大理白族自治州能源局。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审批文号：大能源办〔</w:t>
            </w:r>
            <w:r>
              <w:rPr>
                <w:rFonts w:hint="default" w:ascii="仿宋" w:hAnsi="仿宋" w:eastAsia="仿宋" w:cs="仿宋"/>
                <w:color w:val="000000" w:themeColor="text1"/>
                <w:spacing w:val="-11"/>
                <w:sz w:val="24"/>
                <w:szCs w:val="24"/>
                <w:lang w:val="en-US" w:eastAsia="zh-CN"/>
                <w14:textFill>
                  <w14:solidFill>
                    <w14:schemeClr w14:val="tx1"/>
                  </w14:solidFill>
                </w14:textFill>
              </w:rPr>
              <w:t>2021</w:t>
            </w:r>
            <w:r>
              <w:rPr>
                <w:rFonts w:hint="eastAsia" w:ascii="仿宋" w:hAnsi="仿宋" w:eastAsia="仿宋" w:cs="仿宋"/>
                <w:color w:val="000000" w:themeColor="text1"/>
                <w:spacing w:val="-11"/>
                <w:sz w:val="24"/>
                <w:szCs w:val="24"/>
                <w:lang w:val="en-US" w:eastAsia="zh-CN"/>
                <w14:textFill>
                  <w14:solidFill>
                    <w14:schemeClr w14:val="tx1"/>
                  </w14:solidFill>
                </w14:textFill>
              </w:rPr>
              <w:t>〕</w:t>
            </w:r>
            <w:r>
              <w:rPr>
                <w:rFonts w:hint="default" w:ascii="仿宋" w:hAnsi="仿宋" w:eastAsia="仿宋" w:cs="仿宋"/>
                <w:color w:val="000000" w:themeColor="text1"/>
                <w:spacing w:val="-11"/>
                <w:sz w:val="24"/>
                <w:szCs w:val="24"/>
                <w:lang w:val="en-US" w:eastAsia="zh-CN"/>
                <w14:textFill>
                  <w14:solidFill>
                    <w14:schemeClr w14:val="tx1"/>
                  </w14:solidFill>
                </w14:textFill>
              </w:rPr>
              <w:t>89</w:t>
            </w:r>
            <w:r>
              <w:rPr>
                <w:rFonts w:hint="eastAsia" w:ascii="仿宋" w:hAnsi="仿宋" w:eastAsia="仿宋" w:cs="仿宋"/>
                <w:color w:val="000000" w:themeColor="text1"/>
                <w:spacing w:val="-11"/>
                <w:sz w:val="24"/>
                <w:szCs w:val="24"/>
                <w:lang w:val="en-US" w:eastAsia="zh-CN"/>
                <w14:textFill>
                  <w14:solidFill>
                    <w14:schemeClr w14:val="tx1"/>
                  </w14:solidFill>
                </w14:textFill>
              </w:rPr>
              <w:t>号。</w:t>
            </w:r>
          </w:p>
          <w:p>
            <w:pPr>
              <w:autoSpaceDE w:val="0"/>
              <w:autoSpaceDN w:val="0"/>
              <w:adjustRightInd w:val="0"/>
              <w:snapToGrid w:val="0"/>
              <w:spacing w:line="360" w:lineRule="auto"/>
              <w:ind w:firstLine="438" w:firstLineChars="200"/>
              <w:jc w:val="both"/>
              <w:rPr>
                <w:rFonts w:hint="eastAsia" w:ascii="仿宋" w:hAnsi="仿宋" w:eastAsia="仿宋" w:cs="仿宋"/>
                <w:b w:val="0"/>
                <w:bCs w:val="0"/>
                <w:color w:val="000000" w:themeColor="text1"/>
                <w:spacing w:val="-11"/>
                <w:sz w:val="24"/>
                <w:szCs w:val="24"/>
                <w:lang w:val="en-US" w:eastAsia="zh-CN"/>
                <w14:textFill>
                  <w14:solidFill>
                    <w14:schemeClr w14:val="tx1"/>
                  </w14:solidFill>
                </w14:textFill>
              </w:rPr>
            </w:pPr>
            <w:r>
              <w:rPr>
                <w:rFonts w:hint="eastAsia" w:ascii="仿宋" w:hAnsi="仿宋" w:eastAsia="仿宋" w:cs="仿宋"/>
                <w:b/>
                <w:bCs/>
                <w:color w:val="000000" w:themeColor="text1"/>
                <w:spacing w:val="-11"/>
                <w:sz w:val="24"/>
                <w:szCs w:val="24"/>
                <w:lang w:val="en-US" w:eastAsia="zh-CN"/>
                <w14:textFill>
                  <w14:solidFill>
                    <w14:schemeClr w14:val="tx1"/>
                  </w14:solidFill>
                </w14:textFill>
              </w:rPr>
              <w:t>三、</w:t>
            </w:r>
            <w:bookmarkStart w:id="5" w:name="OLE_LINK12"/>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《云南省“千乡万村驭风行动”第一批项目开发建设方案的通知》（云能源水电〔2024〕118号）</w:t>
            </w:r>
          </w:p>
          <w:bookmarkEnd w:id="5"/>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规划名称：</w:t>
            </w:r>
            <w:r>
              <w:rPr>
                <w:rFonts w:hint="eastAsia" w:ascii="仿宋" w:hAnsi="仿宋" w:eastAsia="仿宋" w:cs="仿宋"/>
                <w:color w:val="000000" w:themeColor="text1"/>
                <w:sz w:val="24"/>
                <w:szCs w:val="24"/>
                <w:highlight w:val="none"/>
                <w:lang w:val="en-US" w:eastAsia="zh-CN"/>
                <w14:textFill>
                  <w14:solidFill>
                    <w14:schemeClr w14:val="tx1"/>
                  </w14:solidFill>
                </w14:textFill>
              </w:rPr>
              <w:t>《云南省“千乡万村驭风行动”第一批项目开发建设方案》</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发布机关：云南省能源局。 </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审批文号：</w:t>
            </w:r>
            <w:r>
              <w:rPr>
                <w:rFonts w:hint="eastAsia" w:ascii="仿宋" w:hAnsi="仿宋" w:eastAsia="仿宋" w:cs="仿宋"/>
                <w:color w:val="000000" w:themeColor="text1"/>
                <w:sz w:val="24"/>
                <w:szCs w:val="24"/>
                <w:highlight w:val="none"/>
                <w:lang w:val="en-US" w:eastAsia="zh-CN"/>
                <w14:textFill>
                  <w14:solidFill>
                    <w14:schemeClr w14:val="tx1"/>
                  </w14:solidFill>
                </w14:textFill>
              </w:rPr>
              <w:t>（云能源水电〔2024〕118号）</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911" w:hRule="atLeast"/>
        </w:trPr>
        <w:tc>
          <w:tcPr>
            <w:tcW w:w="892" w:type="dxa"/>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规划环境影响评价情况</w:t>
            </w:r>
          </w:p>
        </w:tc>
        <w:tc>
          <w:tcPr>
            <w:tcW w:w="7962" w:type="dxa"/>
            <w:gridSpan w:val="4"/>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 xml:space="preserve">《云南省绿色能源发展“十四五”规划》和《大理州能源发展“十四五”规划》中环境影响评价篇章。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5322" w:hRule="atLeast"/>
        </w:trPr>
        <w:tc>
          <w:tcPr>
            <w:tcW w:w="892" w:type="dxa"/>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规划及</w:t>
            </w:r>
            <w:r>
              <w:rPr>
                <w:rFonts w:hint="eastAsia" w:ascii="仿宋" w:hAnsi="仿宋" w:eastAsia="仿宋" w:cs="仿宋"/>
                <w:color w:val="000000" w:themeColor="text1"/>
                <w:sz w:val="24"/>
                <w:szCs w:val="24"/>
                <w14:textFill>
                  <w14:solidFill>
                    <w14:schemeClr w14:val="tx1"/>
                  </w14:solidFill>
                </w14:textFill>
              </w:rPr>
              <w:t>规划环境影响评价</w:t>
            </w:r>
            <w:r>
              <w:rPr>
                <w:rFonts w:hint="eastAsia" w:ascii="仿宋" w:hAnsi="仿宋" w:eastAsia="仿宋" w:cs="仿宋"/>
                <w:color w:val="000000" w:themeColor="text1"/>
                <w:kern w:val="0"/>
                <w:sz w:val="24"/>
                <w:szCs w:val="24"/>
                <w14:textFill>
                  <w14:solidFill>
                    <w14:schemeClr w14:val="tx1"/>
                  </w14:solidFill>
                </w14:textFill>
              </w:rPr>
              <w:t>符合性分析</w:t>
            </w:r>
          </w:p>
        </w:tc>
        <w:tc>
          <w:tcPr>
            <w:tcW w:w="7962" w:type="dxa"/>
            <w:gridSpan w:val="4"/>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spacing w:line="360" w:lineRule="auto"/>
              <w:ind w:firstLine="438" w:firstLineChars="200"/>
              <w:jc w:val="both"/>
              <w:rPr>
                <w:rFonts w:hint="eastAsia" w:ascii="仿宋" w:hAnsi="仿宋" w:eastAsia="仿宋" w:cs="仿宋"/>
                <w:b/>
                <w:bCs/>
                <w:color w:val="000000" w:themeColor="text1"/>
                <w:spacing w:val="-11"/>
                <w:sz w:val="24"/>
                <w:szCs w:val="24"/>
                <w:lang w:val="en-US" w:eastAsia="zh-CN"/>
                <w14:textFill>
                  <w14:solidFill>
                    <w14:schemeClr w14:val="tx1"/>
                  </w14:solidFill>
                </w14:textFill>
              </w:rPr>
            </w:pPr>
            <w:r>
              <w:rPr>
                <w:rFonts w:hint="eastAsia" w:ascii="仿宋" w:hAnsi="仿宋" w:eastAsia="仿宋" w:cs="仿宋"/>
                <w:b/>
                <w:bCs/>
                <w:color w:val="000000" w:themeColor="text1"/>
                <w:spacing w:val="-11"/>
                <w:sz w:val="24"/>
                <w:szCs w:val="24"/>
                <w:lang w:val="en-US" w:eastAsia="zh-CN"/>
                <w14:textFill>
                  <w14:solidFill>
                    <w14:schemeClr w14:val="tx1"/>
                  </w14:solidFill>
                </w14:textFill>
              </w:rPr>
              <w:t>一、与《云南省绿色能源发展“十四五”规划》及规划中环境影响评价篇章的符合性</w:t>
            </w:r>
          </w:p>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本项目与《云南省绿色能源发展“十四五”规划》及规划中环境影响评价篇章的符合性分析见表</w:t>
            </w:r>
            <w:r>
              <w:rPr>
                <w:rFonts w:hint="default" w:ascii="仿宋" w:hAnsi="仿宋" w:eastAsia="仿宋" w:cs="仿宋"/>
                <w:color w:val="000000" w:themeColor="text1"/>
                <w:spacing w:val="-11"/>
                <w:sz w:val="24"/>
                <w:szCs w:val="24"/>
                <w:lang w:val="en-US" w:eastAsia="zh-CN"/>
                <w14:textFill>
                  <w14:solidFill>
                    <w14:schemeClr w14:val="tx1"/>
                  </w14:solidFill>
                </w14:textFill>
              </w:rPr>
              <w:t>1-2</w:t>
            </w:r>
            <w:r>
              <w:rPr>
                <w:rFonts w:hint="eastAsia" w:ascii="仿宋" w:hAnsi="仿宋" w:eastAsia="仿宋" w:cs="仿宋"/>
                <w:color w:val="000000" w:themeColor="text1"/>
                <w:spacing w:val="-11"/>
                <w:sz w:val="24"/>
                <w:szCs w:val="24"/>
                <w:lang w:val="en-US" w:eastAsia="zh-CN"/>
                <w14:textFill>
                  <w14:solidFill>
                    <w14:schemeClr w14:val="tx1"/>
                  </w14:solidFill>
                </w14:textFill>
              </w:rPr>
              <w:t>。</w:t>
            </w:r>
          </w:p>
          <w:p>
            <w:pPr>
              <w:keepNext w:val="0"/>
              <w:keepLines w:val="0"/>
              <w:widowControl/>
              <w:suppressLineNumbers w:val="0"/>
              <w:jc w:val="center"/>
              <w:rPr>
                <w:color w:val="000000" w:themeColor="text1"/>
                <w14:textFill>
                  <w14:solidFill>
                    <w14:schemeClr w14:val="tx1"/>
                  </w14:solidFill>
                </w14:textFill>
              </w:rPr>
            </w:pPr>
            <w:r>
              <w:rPr>
                <w:rFonts w:hint="eastAsia" w:ascii="仿宋" w:hAnsi="仿宋" w:eastAsia="仿宋" w:cs="仿宋"/>
                <w:b/>
                <w:bCs/>
                <w:color w:val="000000" w:themeColor="text1"/>
                <w:kern w:val="0"/>
                <w:sz w:val="21"/>
                <w:szCs w:val="21"/>
                <w:lang w:val="en-US" w:eastAsia="zh-CN" w:bidi="ar"/>
                <w14:textFill>
                  <w14:solidFill>
                    <w14:schemeClr w14:val="tx1"/>
                  </w14:solidFill>
                </w14:textFill>
              </w:rPr>
              <w:t>表1-2与《云南省绿色能源发展“十四五”规划》及规划中环境影响篇章符合性分析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522"/>
              <w:gridCol w:w="2539"/>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3" w:type="pct"/>
                  <w:gridSpan w:val="2"/>
                  <w:vAlign w:val="center"/>
                </w:tcPr>
                <w:p>
                  <w:pPr>
                    <w:autoSpaceDE w:val="0"/>
                    <w:autoSpaceDN w:val="0"/>
                    <w:adjustRightInd w:val="0"/>
                    <w:snapToGrid w:val="0"/>
                    <w:spacing w:line="240" w:lineRule="auto"/>
                    <w:jc w:val="center"/>
                    <w:rPr>
                      <w:rFonts w:hint="eastAsia" w:ascii="仿宋" w:hAnsi="仿宋" w:eastAsia="仿宋" w:cs="仿宋"/>
                      <w:b/>
                      <w:bCs/>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val="en-US" w:eastAsia="zh-CN"/>
                      <w14:textFill>
                        <w14:solidFill>
                          <w14:schemeClr w14:val="tx1"/>
                        </w14:solidFill>
                      </w14:textFill>
                    </w:rPr>
                    <w:t>规划要求</w:t>
                  </w:r>
                </w:p>
              </w:tc>
              <w:tc>
                <w:tcPr>
                  <w:tcW w:w="1603" w:type="pct"/>
                  <w:vAlign w:val="center"/>
                </w:tcPr>
                <w:p>
                  <w:pPr>
                    <w:autoSpaceDE w:val="0"/>
                    <w:autoSpaceDN w:val="0"/>
                    <w:adjustRightInd w:val="0"/>
                    <w:snapToGrid w:val="0"/>
                    <w:spacing w:line="240" w:lineRule="auto"/>
                    <w:jc w:val="center"/>
                    <w:rPr>
                      <w:rFonts w:hint="eastAsia" w:ascii="仿宋" w:hAnsi="仿宋" w:eastAsia="仿宋" w:cs="仿宋"/>
                      <w:b/>
                      <w:bCs/>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val="en-US" w:eastAsia="zh-CN"/>
                      <w14:textFill>
                        <w14:solidFill>
                          <w14:schemeClr w14:val="tx1"/>
                        </w14:solidFill>
                      </w14:textFill>
                    </w:rPr>
                    <w:t>本项目情况</w:t>
                  </w:r>
                </w:p>
              </w:tc>
              <w:tc>
                <w:tcPr>
                  <w:tcW w:w="622" w:type="pct"/>
                  <w:vAlign w:val="center"/>
                </w:tcPr>
                <w:p>
                  <w:pPr>
                    <w:autoSpaceDE w:val="0"/>
                    <w:autoSpaceDN w:val="0"/>
                    <w:adjustRightInd w:val="0"/>
                    <w:snapToGrid w:val="0"/>
                    <w:spacing w:line="240" w:lineRule="auto"/>
                    <w:jc w:val="center"/>
                    <w:rPr>
                      <w:rFonts w:hint="eastAsia" w:ascii="仿宋" w:hAnsi="仿宋" w:eastAsia="仿宋" w:cs="仿宋"/>
                      <w:b/>
                      <w:bCs/>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发展思路</w:t>
                  </w:r>
                </w:p>
              </w:tc>
              <w:tc>
                <w:tcPr>
                  <w:tcW w:w="222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保供应。做足电源、做强电网、做优煤炭、做大油气，积极推进水电开发，加快布局“风光水火储”多能互补基地，加大煤田地质勘探力度，推进油气开发，丰富能源供应品种，推动多能互补协调发展，化解电力、电量“双缺”主要矛盾及系统风险，保障能源供需平衡，增强能源供应链产业链稳定安全。</w:t>
                  </w:r>
                </w:p>
              </w:tc>
              <w:tc>
                <w:tcPr>
                  <w:tcW w:w="160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本项目为风力发电项目，项目的建设满足做足电源、做强电网的发展思路要求</w:t>
                  </w:r>
                </w:p>
              </w:tc>
              <w:tc>
                <w:tcPr>
                  <w:tcW w:w="622"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发展目标</w:t>
                  </w:r>
                </w:p>
              </w:tc>
              <w:tc>
                <w:tcPr>
                  <w:tcW w:w="222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 xml:space="preserve">着力打造绿色能源强省、“一基地三示范一枢纽”，即：建设国家清洁能源基地、创建新型电力系统先行示范、绿色能源和绿色制造融合发展示范、绿色能源试点示范，打造国际区域性绿色能源枢纽。到“十四五”末，加快规划建设新型能源体系取得显著成效，重塑全省绿色能源新优势，千亿级能源优势产业效应发挥更加明显，完成构建高质量现 </w:t>
                  </w:r>
                </w:p>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 xml:space="preserve">代能源产业体系框架，绿色能源基地建设步入快车道，基本建成国家清洁能源基地，新型电力系统初具雏形，统筹近期、中期与远期关系，打出“扩绿、建新、降碳、减量、转型、节能、升级、改革、合作”组合拳，完成能源碳达峰阶段性目标，形成较为完整的绿色制造产业链、高端绿色制造产业集群和云南跨境电力交换的骨干网络，推进国际 </w:t>
                  </w:r>
                </w:p>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能源合作，绿色能源成为云南标志性品牌，主要指标全国领先，云南能源在全国和全省的地位作用进一步巩固提升，人民群众从能源普遍服务中获得更多实惠，助力加快建设能源强国，为全省经济社会高质量发展提供重要支撑和保障。</w:t>
                  </w:r>
                </w:p>
              </w:tc>
              <w:tc>
                <w:tcPr>
                  <w:tcW w:w="160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本项目为风力发电项目，有助于打造绿色能源强省目标，有助于实现能源碳达峰阶段性目标。</w:t>
                  </w:r>
                </w:p>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p>
              </w:tc>
              <w:tc>
                <w:tcPr>
                  <w:tcW w:w="622"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重点任务</w:t>
                  </w:r>
                </w:p>
              </w:tc>
              <w:tc>
                <w:tcPr>
                  <w:tcW w:w="222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分时序快节奏推进电源建设，强化电源保障，协调发展各类清洁能源。提前谋划，深入挖掘水电开发潜力；创新开发模式，加快布局风电、光伏等新能源，积极布局“风光水火储”多能互补基地建设；积极探索，研究发展燃气发电，有序推进其他类型电源。到</w:t>
                  </w: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2025</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年，全省电源装机容量超过</w:t>
                  </w: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1.6</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亿千瓦。</w:t>
                  </w:r>
                </w:p>
              </w:tc>
              <w:tc>
                <w:tcPr>
                  <w:tcW w:w="160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本项目属于风电新能源开发。</w:t>
                  </w:r>
                </w:p>
              </w:tc>
              <w:tc>
                <w:tcPr>
                  <w:tcW w:w="622"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环境影响分析</w:t>
                  </w:r>
                </w:p>
              </w:tc>
              <w:tc>
                <w:tcPr>
                  <w:tcW w:w="222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《规划》实施过程中，所有建设项目均要根据有关法律法规要求编制环境影响评价文件，并充分衔接国土空间规划“三区三线”。</w:t>
                  </w:r>
                </w:p>
              </w:tc>
              <w:tc>
                <w:tcPr>
                  <w:tcW w:w="160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根据弥渡县自然资源局关于本项目规划符合性的情况说明，征占地范围不位于生态红线内，不位于各级自然保护区，符合城镇开发边界管控规则。</w:t>
                  </w:r>
                </w:p>
              </w:tc>
              <w:tc>
                <w:tcPr>
                  <w:tcW w:w="622"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p>
              </w:tc>
              <w:tc>
                <w:tcPr>
                  <w:tcW w:w="222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发挥能源规划及规划环评的指导约束作用，合理规划项目布局，避让自然保护区、风景名胜区等各类自然保护地和集中居民区等环境敏感区，采取工程和生态保护措施，减少树木采伐，及时进行生态修复，降低生态影响。</w:t>
                  </w:r>
                </w:p>
              </w:tc>
              <w:tc>
                <w:tcPr>
                  <w:tcW w:w="160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本项目选址不涉及自然保护区、风景名胜区等各类自然保护地和集中居民区等环境敏感区。采取环评提出的措施后可降低生态影响。</w:t>
                  </w:r>
                </w:p>
              </w:tc>
              <w:tc>
                <w:tcPr>
                  <w:tcW w:w="622"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p>
              </w:tc>
              <w:tc>
                <w:tcPr>
                  <w:tcW w:w="222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做好项目建设涉及的自然生态环境保护工作，注意避让生态环境敏感区和脆弱区。加强施工准备、筹建和施工过程中的环境保护。提高电网运行安全稳定水平，降低电磁环境影响。制定矿区生态综合整治目标，严格控制施工占地。加强油气管网运营与环境保护。</w:t>
                  </w:r>
                </w:p>
              </w:tc>
              <w:tc>
                <w:tcPr>
                  <w:tcW w:w="160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本项目选址阶段避让了生态环境敏感区和脆弱区，此外环评针对项目施工和运营提出一系列的生态环境防治措施，最大限度降低生态环境影响，采取本环评提出的措施后项目对陆生生态的影响较小。</w:t>
                  </w:r>
                </w:p>
              </w:tc>
              <w:tc>
                <w:tcPr>
                  <w:tcW w:w="622"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p>
              </w:tc>
              <w:tc>
                <w:tcPr>
                  <w:tcW w:w="222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建立覆盖全社会的能源环境监管体制，明确各部门监管职责，完善监管标准、监管规则和监管程序，形成规范有序、公开透明的监管体系。开展项目环境保护工作阶段性检查和验收工作，适时开展环境影响回顾性评价和后评价，注重主要环境影响复核和环境保护措施效果分析，及时调整补充相应环保措施。</w:t>
                  </w:r>
                </w:p>
              </w:tc>
              <w:tc>
                <w:tcPr>
                  <w:tcW w:w="1603" w:type="pct"/>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本项目建设完成后将严格按照验收管理办法办理竣工环境保护验收工作。</w:t>
                  </w:r>
                </w:p>
              </w:tc>
              <w:tc>
                <w:tcPr>
                  <w:tcW w:w="622" w:type="pct"/>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符合</w:t>
                  </w:r>
                </w:p>
              </w:tc>
            </w:tr>
          </w:tbl>
          <w:p>
            <w:pPr>
              <w:autoSpaceDE w:val="0"/>
              <w:autoSpaceDN w:val="0"/>
              <w:adjustRightInd w:val="0"/>
              <w:snapToGrid w:val="0"/>
              <w:spacing w:line="360" w:lineRule="auto"/>
              <w:ind w:firstLine="436" w:firstLineChars="200"/>
              <w:jc w:val="both"/>
              <w:rPr>
                <w:rFonts w:hint="eastAsia" w:ascii="仿宋" w:hAnsi="仿宋" w:eastAsia="仿宋" w:cs="仿宋"/>
                <w:color w:val="000000" w:themeColor="text1"/>
                <w:spacing w:val="-11"/>
                <w:sz w:val="24"/>
                <w:szCs w:val="24"/>
                <w:lang w:val="en-US" w:eastAsia="zh-CN"/>
                <w14:textFill>
                  <w14:solidFill>
                    <w14:schemeClr w14:val="tx1"/>
                  </w14:solidFill>
                </w14:textFill>
              </w:rPr>
            </w:pPr>
            <w:r>
              <w:rPr>
                <w:rFonts w:hint="eastAsia" w:ascii="仿宋" w:hAnsi="仿宋" w:eastAsia="仿宋" w:cs="仿宋"/>
                <w:color w:val="000000" w:themeColor="text1"/>
                <w:spacing w:val="-11"/>
                <w:sz w:val="24"/>
                <w:szCs w:val="24"/>
                <w:lang w:val="en-US" w:eastAsia="zh-CN"/>
                <w14:textFill>
                  <w14:solidFill>
                    <w14:schemeClr w14:val="tx1"/>
                  </w14:solidFill>
                </w14:textFill>
              </w:rPr>
              <w:t>综上，项目的建设符合《云南省绿色能源发展“十四五”规划》的要求。</w:t>
            </w:r>
          </w:p>
          <w:p>
            <w:pPr>
              <w:autoSpaceDE w:val="0"/>
              <w:autoSpaceDN w:val="0"/>
              <w:adjustRightInd w:val="0"/>
              <w:snapToGrid w:val="0"/>
              <w:spacing w:line="360" w:lineRule="auto"/>
              <w:ind w:firstLine="438" w:firstLineChars="200"/>
              <w:jc w:val="both"/>
              <w:rPr>
                <w:rFonts w:hint="default" w:ascii="仿宋" w:hAnsi="仿宋" w:eastAsia="仿宋" w:cs="仿宋"/>
                <w:b/>
                <w:bCs/>
                <w:color w:val="000000" w:themeColor="text1"/>
                <w:spacing w:val="-11"/>
                <w:sz w:val="24"/>
                <w:szCs w:val="24"/>
                <w:lang w:val="en-US" w:eastAsia="zh-CN"/>
                <w14:textFill>
                  <w14:solidFill>
                    <w14:schemeClr w14:val="tx1"/>
                  </w14:solidFill>
                </w14:textFill>
              </w:rPr>
            </w:pPr>
            <w:r>
              <w:rPr>
                <w:rFonts w:hint="eastAsia" w:ascii="仿宋" w:hAnsi="仿宋" w:eastAsia="仿宋" w:cs="仿宋"/>
                <w:b/>
                <w:bCs/>
                <w:color w:val="000000" w:themeColor="text1"/>
                <w:spacing w:val="-11"/>
                <w:sz w:val="24"/>
                <w:szCs w:val="24"/>
                <w:lang w:val="en-US" w:eastAsia="zh-CN"/>
                <w14:textFill>
                  <w14:solidFill>
                    <w14:schemeClr w14:val="tx1"/>
                  </w14:solidFill>
                </w14:textFill>
              </w:rPr>
              <w:t>二、</w:t>
            </w:r>
            <w:r>
              <w:rPr>
                <w:rFonts w:hint="default" w:ascii="仿宋" w:hAnsi="仿宋" w:eastAsia="仿宋" w:cs="仿宋"/>
                <w:b/>
                <w:bCs/>
                <w:color w:val="000000" w:themeColor="text1"/>
                <w:spacing w:val="-11"/>
                <w:sz w:val="24"/>
                <w:szCs w:val="24"/>
                <w:lang w:val="en-US" w:eastAsia="zh-CN"/>
                <w14:textFill>
                  <w14:solidFill>
                    <w14:schemeClr w14:val="tx1"/>
                  </w14:solidFill>
                </w14:textFill>
              </w:rPr>
              <w:t>与《大理州能源发展</w:t>
            </w:r>
            <w:r>
              <w:rPr>
                <w:rFonts w:hint="eastAsia" w:ascii="仿宋" w:hAnsi="仿宋" w:eastAsia="仿宋" w:cs="仿宋"/>
                <w:b/>
                <w:bCs/>
                <w:color w:val="000000" w:themeColor="text1"/>
                <w:spacing w:val="-11"/>
                <w:sz w:val="24"/>
                <w:szCs w:val="24"/>
                <w:lang w:val="en-US" w:eastAsia="zh-CN"/>
                <w14:textFill>
                  <w14:solidFill>
                    <w14:schemeClr w14:val="tx1"/>
                  </w14:solidFill>
                </w14:textFill>
              </w:rPr>
              <w:t>“</w:t>
            </w:r>
            <w:r>
              <w:rPr>
                <w:rFonts w:hint="default" w:ascii="仿宋" w:hAnsi="仿宋" w:eastAsia="仿宋" w:cs="仿宋"/>
                <w:b/>
                <w:bCs/>
                <w:color w:val="000000" w:themeColor="text1"/>
                <w:spacing w:val="-11"/>
                <w:sz w:val="24"/>
                <w:szCs w:val="24"/>
                <w:lang w:val="en-US" w:eastAsia="zh-CN"/>
                <w14:textFill>
                  <w14:solidFill>
                    <w14:schemeClr w14:val="tx1"/>
                  </w14:solidFill>
                </w14:textFill>
              </w:rPr>
              <w:t>十四五</w:t>
            </w:r>
            <w:r>
              <w:rPr>
                <w:rFonts w:hint="eastAsia" w:ascii="仿宋" w:hAnsi="仿宋" w:eastAsia="仿宋" w:cs="仿宋"/>
                <w:b/>
                <w:bCs/>
                <w:color w:val="000000" w:themeColor="text1"/>
                <w:spacing w:val="-11"/>
                <w:sz w:val="24"/>
                <w:szCs w:val="24"/>
                <w:lang w:val="en-US" w:eastAsia="zh-CN"/>
                <w14:textFill>
                  <w14:solidFill>
                    <w14:schemeClr w14:val="tx1"/>
                  </w14:solidFill>
                </w14:textFill>
              </w:rPr>
              <w:t>”</w:t>
            </w:r>
            <w:r>
              <w:rPr>
                <w:rFonts w:hint="default" w:ascii="仿宋" w:hAnsi="仿宋" w:eastAsia="仿宋" w:cs="仿宋"/>
                <w:b/>
                <w:bCs/>
                <w:color w:val="000000" w:themeColor="text1"/>
                <w:spacing w:val="-11"/>
                <w:sz w:val="24"/>
                <w:szCs w:val="24"/>
                <w:lang w:val="en-US" w:eastAsia="zh-CN"/>
                <w14:textFill>
                  <w14:solidFill>
                    <w14:schemeClr w14:val="tx1"/>
                  </w14:solidFill>
                </w14:textFill>
              </w:rPr>
              <w:t>规划》及规划中环境影响评价篇章的符合性</w:t>
            </w:r>
          </w:p>
          <w:p>
            <w:pPr>
              <w:autoSpaceDE w:val="0"/>
              <w:autoSpaceDN w:val="0"/>
              <w:adjustRightInd w:val="0"/>
              <w:snapToGrid w:val="0"/>
              <w:spacing w:line="360" w:lineRule="auto"/>
              <w:ind w:firstLine="436" w:firstLineChars="200"/>
              <w:jc w:val="both"/>
              <w:rPr>
                <w:rFonts w:hint="default" w:ascii="仿宋" w:hAnsi="仿宋" w:eastAsia="仿宋" w:cs="仿宋"/>
                <w:color w:val="000000" w:themeColor="text1"/>
                <w:spacing w:val="-11"/>
                <w:sz w:val="24"/>
                <w:szCs w:val="24"/>
                <w:lang w:val="en-US" w:eastAsia="zh-CN"/>
                <w14:textFill>
                  <w14:solidFill>
                    <w14:schemeClr w14:val="tx1"/>
                  </w14:solidFill>
                </w14:textFill>
              </w:rPr>
            </w:pPr>
            <w:r>
              <w:rPr>
                <w:rFonts w:hint="default" w:ascii="仿宋" w:hAnsi="仿宋" w:eastAsia="仿宋" w:cs="仿宋"/>
                <w:color w:val="000000" w:themeColor="text1"/>
                <w:spacing w:val="-11"/>
                <w:sz w:val="24"/>
                <w:szCs w:val="24"/>
                <w:lang w:val="en-US" w:eastAsia="zh-CN"/>
                <w14:textFill>
                  <w14:solidFill>
                    <w14:schemeClr w14:val="tx1"/>
                  </w14:solidFill>
                </w14:textFill>
              </w:rPr>
              <w:t>本项目与《大理州能源发展</w:t>
            </w:r>
            <w:r>
              <w:rPr>
                <w:rFonts w:hint="eastAsia" w:ascii="仿宋" w:hAnsi="仿宋" w:eastAsia="仿宋" w:cs="仿宋"/>
                <w:color w:val="000000" w:themeColor="text1"/>
                <w:spacing w:val="-11"/>
                <w:sz w:val="24"/>
                <w:szCs w:val="24"/>
                <w:lang w:val="en-US" w:eastAsia="zh-CN"/>
                <w14:textFill>
                  <w14:solidFill>
                    <w14:schemeClr w14:val="tx1"/>
                  </w14:solidFill>
                </w14:textFill>
              </w:rPr>
              <w:t>“</w:t>
            </w:r>
            <w:r>
              <w:rPr>
                <w:rFonts w:hint="default" w:ascii="仿宋" w:hAnsi="仿宋" w:eastAsia="仿宋" w:cs="仿宋"/>
                <w:color w:val="000000" w:themeColor="text1"/>
                <w:spacing w:val="-11"/>
                <w:sz w:val="24"/>
                <w:szCs w:val="24"/>
                <w:lang w:val="en-US" w:eastAsia="zh-CN"/>
                <w14:textFill>
                  <w14:solidFill>
                    <w14:schemeClr w14:val="tx1"/>
                  </w14:solidFill>
                </w14:textFill>
              </w:rPr>
              <w:t>十四五</w:t>
            </w:r>
            <w:r>
              <w:rPr>
                <w:rFonts w:hint="eastAsia" w:ascii="仿宋" w:hAnsi="仿宋" w:eastAsia="仿宋" w:cs="仿宋"/>
                <w:color w:val="000000" w:themeColor="text1"/>
                <w:spacing w:val="-11"/>
                <w:sz w:val="24"/>
                <w:szCs w:val="24"/>
                <w:lang w:val="en-US" w:eastAsia="zh-CN"/>
                <w14:textFill>
                  <w14:solidFill>
                    <w14:schemeClr w14:val="tx1"/>
                  </w14:solidFill>
                </w14:textFill>
              </w:rPr>
              <w:t>”</w:t>
            </w:r>
            <w:r>
              <w:rPr>
                <w:rFonts w:hint="default" w:ascii="仿宋" w:hAnsi="仿宋" w:eastAsia="仿宋" w:cs="仿宋"/>
                <w:color w:val="000000" w:themeColor="text1"/>
                <w:spacing w:val="-11"/>
                <w:sz w:val="24"/>
                <w:szCs w:val="24"/>
                <w:lang w:val="en-US" w:eastAsia="zh-CN"/>
                <w14:textFill>
                  <w14:solidFill>
                    <w14:schemeClr w14:val="tx1"/>
                  </w14:solidFill>
                </w14:textFill>
              </w:rPr>
              <w:t>规划》及规划中环境影响评价篇章的符合性分析见表1-</w:t>
            </w:r>
            <w:r>
              <w:rPr>
                <w:rFonts w:hint="eastAsia" w:ascii="仿宋" w:hAnsi="仿宋" w:eastAsia="仿宋" w:cs="仿宋"/>
                <w:color w:val="000000" w:themeColor="text1"/>
                <w:spacing w:val="-11"/>
                <w:sz w:val="24"/>
                <w:szCs w:val="24"/>
                <w:lang w:val="en-US" w:eastAsia="zh-CN"/>
                <w14:textFill>
                  <w14:solidFill>
                    <w14:schemeClr w14:val="tx1"/>
                  </w14:solidFill>
                </w14:textFill>
              </w:rPr>
              <w:t>3</w:t>
            </w:r>
            <w:r>
              <w:rPr>
                <w:rFonts w:hint="default" w:ascii="仿宋" w:hAnsi="仿宋" w:eastAsia="仿宋" w:cs="仿宋"/>
                <w:color w:val="000000" w:themeColor="text1"/>
                <w:spacing w:val="-11"/>
                <w:sz w:val="24"/>
                <w:szCs w:val="24"/>
                <w:lang w:val="en-US" w:eastAsia="zh-CN"/>
                <w14:textFill>
                  <w14:solidFill>
                    <w14:schemeClr w14:val="tx1"/>
                  </w14:solidFill>
                </w14:textFill>
              </w:rPr>
              <w:t>。</w:t>
            </w:r>
          </w:p>
          <w:p>
            <w:pPr>
              <w:pStyle w:val="61"/>
              <w:pageBreakBefore w:val="0"/>
              <w:kinsoku/>
              <w:overflowPunct/>
              <w:bidi w:val="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表1-</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 xml:space="preserve">  与《大理州能源发展</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十四五</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规划》及规划中环境影响评价篇章符合性分析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4124"/>
              <w:gridCol w:w="2284"/>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34"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规划要求</w:t>
                  </w:r>
                </w:p>
              </w:tc>
              <w:tc>
                <w:tcPr>
                  <w:tcW w:w="144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本项目情况</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发展目标</w:t>
                  </w:r>
                </w:p>
              </w:tc>
              <w:tc>
                <w:tcPr>
                  <w:tcW w:w="26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pacing w:val="-11"/>
                      <w:sz w:val="21"/>
                      <w:szCs w:val="21"/>
                      <w:highlight w:val="none"/>
                      <w14:textFill>
                        <w14:solidFill>
                          <w14:schemeClr w14:val="tx1"/>
                        </w14:solidFill>
                      </w14:textFill>
                    </w:rPr>
                  </w:pPr>
                  <w:r>
                    <w:rPr>
                      <w:rFonts w:hint="eastAsia" w:ascii="仿宋" w:hAnsi="仿宋" w:eastAsia="仿宋" w:cs="仿宋"/>
                      <w:color w:val="000000" w:themeColor="text1"/>
                      <w:spacing w:val="-11"/>
                      <w:sz w:val="21"/>
                      <w:szCs w:val="21"/>
                      <w:highlight w:val="none"/>
                      <w14:textFill>
                        <w14:solidFill>
                          <w14:schemeClr w14:val="tx1"/>
                        </w14:solidFill>
                      </w14:textFill>
                    </w:rPr>
                    <w:t>到2025年，大理州建成更为互联互通、功能完善、清洁低碳、安全高效的能源保障网，对全州经济高质量发展的支撑和保障作用更强促进能源产业数字化，绿色能源与绿色铝、绿色硅等清洁高效载能产业实现融合发展，绿色能源产业对全州经济社会发展的贡献更加突出绿色能源产业作为大理州第一支柱产业的地位不断强化，全面成为支撑全州经济增长的第一动能。</w:t>
                  </w:r>
                </w:p>
              </w:tc>
              <w:tc>
                <w:tcPr>
                  <w:tcW w:w="144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本项目为</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风力发电项目</w:t>
                  </w:r>
                  <w:r>
                    <w:rPr>
                      <w:rFonts w:hint="eastAsia" w:ascii="仿宋" w:hAnsi="仿宋" w:eastAsia="仿宋" w:cs="仿宋"/>
                      <w:color w:val="000000" w:themeColor="text1"/>
                      <w:kern w:val="0"/>
                      <w:sz w:val="21"/>
                      <w:szCs w:val="21"/>
                      <w:highlight w:val="none"/>
                      <w14:textFill>
                        <w14:solidFill>
                          <w14:schemeClr w14:val="tx1"/>
                        </w14:solidFill>
                      </w14:textFill>
                    </w:rPr>
                    <w:t>，有助于绿色能源产业</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发展</w:t>
                  </w:r>
                  <w:r>
                    <w:rPr>
                      <w:rFonts w:hint="eastAsia" w:ascii="仿宋" w:hAnsi="仿宋" w:eastAsia="仿宋" w:cs="仿宋"/>
                      <w:color w:val="000000" w:themeColor="text1"/>
                      <w:kern w:val="0"/>
                      <w:sz w:val="21"/>
                      <w:szCs w:val="21"/>
                      <w:highlight w:val="none"/>
                      <w14:textFill>
                        <w14:solidFill>
                          <w14:schemeClr w14:val="tx1"/>
                        </w14:solidFill>
                      </w14:textFill>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重点任务</w:t>
                  </w:r>
                </w:p>
              </w:tc>
              <w:tc>
                <w:tcPr>
                  <w:tcW w:w="26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持续推进能源保障网建设，不断提升清洁能源保障能力。</w:t>
                  </w:r>
                  <w:r>
                    <w:rPr>
                      <w:rFonts w:hint="eastAsia" w:ascii="仿宋" w:hAnsi="仿宋" w:eastAsia="仿宋" w:cs="仿宋"/>
                      <w:color w:val="000000" w:themeColor="text1"/>
                      <w:kern w:val="0"/>
                      <w:sz w:val="21"/>
                      <w:szCs w:val="21"/>
                      <w:highlight w:val="none"/>
                      <w14:textFill>
                        <w14:solidFill>
                          <w14:schemeClr w14:val="tx1"/>
                        </w14:solidFill>
                      </w14:textFill>
                    </w:rPr>
                    <w:t>深入贯彻落实国家</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碳达峰、碳中和</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的部署要求，充分发挥大理州新能源资源优势，积极推动金沙江中游（大理段）和澜沧江（大理段）</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风光水储一体化</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多能互补及源网荷储基地建设，着力将大理州建设成为云南省</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风光水储一体化</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多能互补示范基地，不断扩大清洁电力生产能力。结合国家、省新能源发展政策和大理州用电需求增长情况，在适宜地区启动实施部分地面并网光伏发电项目。</w:t>
                  </w:r>
                </w:p>
                <w:p>
                  <w:pPr>
                    <w:keepNext w:val="0"/>
                    <w:keepLines w:val="0"/>
                    <w:pageBreakBefore w:val="0"/>
                    <w:widowControl w:val="0"/>
                    <w:numPr>
                      <w:ilvl w:val="0"/>
                      <w:numId w:val="2"/>
                    </w:numPr>
                    <w:kinsoku/>
                    <w:wordWrap/>
                    <w:overflowPunct/>
                    <w:topLinePunct w:val="0"/>
                    <w:bidi w:val="0"/>
                    <w:adjustRightInd w:val="0"/>
                    <w:snapToGrid w:val="0"/>
                    <w:ind w:firstLine="0"/>
                    <w:jc w:val="left"/>
                    <w:textAlignment w:val="auto"/>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以提高能源产业竞争力为重点，着力增强创新驱动</w:t>
                  </w:r>
                  <w: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bidi w:val="0"/>
                    <w:adjustRightInd w:val="0"/>
                    <w:snapToGrid w:val="0"/>
                    <w:jc w:val="left"/>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做好风、光、水互补优化调度。围绕全州打造世界一流“绿色能源牌”的需要，不断优化水电、风电、光伏发电的互补调度，以应对无调节能力的风电、光伏发电的接入，积极推进“风光水储一体化”、“风光储一体化”和源网荷储多能互补。根据大理州各片区风电、光伏、水电装机实际出力情况，实现调度风、光、水电出力最优控制方案，最大限度实现风、光、水优化调度，利用水电调节能力，平滑风电和光伏发电功率输出、削峰填谷、跟踪计划发电和参与系统调频，增加清洁能源的利用率，确保安全、稳定、可靠供电，减少系统不稳定运行因素。</w:t>
                  </w:r>
                </w:p>
              </w:tc>
              <w:tc>
                <w:tcPr>
                  <w:tcW w:w="144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本项目</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属于风电新能源开发，符合重点任务发展规划</w:t>
                  </w:r>
                  <w:r>
                    <w:rPr>
                      <w:rFonts w:hint="eastAsia" w:ascii="仿宋" w:hAnsi="仿宋" w:eastAsia="仿宋" w:cs="仿宋"/>
                      <w:color w:val="000000" w:themeColor="text1"/>
                      <w:kern w:val="0"/>
                      <w:sz w:val="21"/>
                      <w:szCs w:val="21"/>
                      <w:highlight w:val="none"/>
                      <w14:textFill>
                        <w14:solidFill>
                          <w14:schemeClr w14:val="tx1"/>
                        </w14:solidFill>
                      </w14:textFill>
                    </w:rPr>
                    <w:t>。</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环境影响分析</w:t>
                  </w:r>
                </w:p>
              </w:tc>
              <w:tc>
                <w:tcPr>
                  <w:tcW w:w="26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规划项目的环境影响评价要求：大理州环境敏感区分布较广、数量较多。规划新建的所有能源建设项目，必须全面落实生态优先的理念，在前期论证、规划、设计、施工等项目实施的所有环节，要开展深入细致的调查分析，坚决避让各类环境敏感区（各级自然保护区、风景名胜区、历史文化保护区、公益林区、涵养水源林地区等），符合国土空间规划，特别是保护好基本农田。</w:t>
                  </w:r>
                </w:p>
              </w:tc>
              <w:tc>
                <w:tcPr>
                  <w:tcW w:w="1442" w:type="pct"/>
                  <w:tcBorders>
                    <w:tl2br w:val="nil"/>
                    <w:tr2bl w:val="nil"/>
                  </w:tcBorders>
                  <w:noWrap w:val="0"/>
                  <w:vAlign w:val="center"/>
                </w:tcPr>
                <w:p>
                  <w:pPr>
                    <w:keepNext w:val="0"/>
                    <w:keepLines w:val="0"/>
                    <w:pageBreakBefore w:val="0"/>
                    <w:widowControl w:val="0"/>
                    <w:kinsoku/>
                    <w:wordWrap w:val="0"/>
                    <w:overflowPunct/>
                    <w:topLinePunct/>
                    <w:bidi w:val="0"/>
                    <w:adjustRightInd w:val="0"/>
                    <w:snapToGrid w:val="0"/>
                    <w:ind w:firstLine="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根据弥渡县自然资源局关于本项目规划符合性的情况说明，征占地范围不位于生态红线内，不位于各级自然保护区，符合城镇开发边界管控规则。项目不占用耕地和永久基本农田。</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6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发挥规划的引导和约束作用，加强能源项目环境影响评价。发挥政府职能，强化监督管理，严格执行环境影响评价和</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三同时</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制度。制定实施促进能源合理有效利用和加强能源生态安全的环境强制政策，引导企业向环境友好和资源节约方向发展，走</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生态优先</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的路子，有效减少环境影响。加强规划环评监管工作，严肃查处能源环保违法违规行为。</w:t>
                  </w:r>
                </w:p>
              </w:tc>
              <w:tc>
                <w:tcPr>
                  <w:tcW w:w="14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adjustRightInd w:val="0"/>
                    <w:snapToGrid w:val="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本项目</w:t>
                  </w:r>
                  <w:r>
                    <w:rPr>
                      <w:rFonts w:hint="eastAsia" w:ascii="仿宋" w:hAnsi="仿宋" w:eastAsia="仿宋" w:cs="仿宋"/>
                      <w:color w:val="000000" w:themeColor="text1"/>
                      <w:sz w:val="21"/>
                      <w:szCs w:val="21"/>
                      <w:highlight w:val="none"/>
                      <w14:textFill>
                        <w14:solidFill>
                          <w14:schemeClr w14:val="tx1"/>
                        </w14:solidFill>
                      </w14:textFill>
                    </w:rPr>
                    <w:t>严格执行环境影响评价和</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三同时</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制度</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采取措施后，可有效减少环境影响。</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6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发挥能源规划及规划环评的指导约束作用，实施好促进能源高效利用的环境强制措施，提高能源环境准入门槛。制定环境风险对策措施和应急措施，采取工程和生态保护措施，避让自然保护区、生态保护区、风景名胜区、涵养水源林区、集中居民区等环境敏感区，降低环境影响。</w:t>
                  </w:r>
                </w:p>
              </w:tc>
              <w:tc>
                <w:tcPr>
                  <w:tcW w:w="144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bidi w:val="0"/>
                    <w:adjustRightInd w:val="0"/>
                    <w:snapToGrid w:val="0"/>
                    <w:jc w:val="both"/>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本项目选址不涉及自然保护区、风景名胜区</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涵养水源林区</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集中居民区等环境敏感区</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采取环评提出的措施后可降低生态影响。</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60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加强能源项目环境影响跟踪监测，及时提出整改意见，不断完善日常监督管理。开展阶段性检查和验收，适时开展能源项目环境影响回顾评价和后评价，及时调整补充相应环保措施。</w:t>
                  </w:r>
                </w:p>
              </w:tc>
              <w:tc>
                <w:tcPr>
                  <w:tcW w:w="144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本项目</w:t>
                  </w:r>
                  <w:r>
                    <w:rPr>
                      <w:rFonts w:hint="eastAsia" w:ascii="仿宋" w:hAnsi="仿宋" w:eastAsia="仿宋" w:cs="仿宋"/>
                      <w:color w:val="000000" w:themeColor="text1"/>
                      <w:sz w:val="21"/>
                      <w:szCs w:val="21"/>
                      <w:highlight w:val="none"/>
                      <w:lang w:val="en-US" w:eastAsia="zh-CN"/>
                      <w14:textFill>
                        <w14:solidFill>
                          <w14:schemeClr w14:val="tx1"/>
                        </w14:solidFill>
                      </w14:textFill>
                    </w:rPr>
                    <w:t>施工期和运营期开展环境影响跟踪监测。</w:t>
                  </w:r>
                  <w:r>
                    <w:rPr>
                      <w:rFonts w:hint="eastAsia" w:ascii="仿宋" w:hAnsi="仿宋" w:eastAsia="仿宋" w:cs="仿宋"/>
                      <w:color w:val="000000" w:themeColor="text1"/>
                      <w:sz w:val="21"/>
                      <w:szCs w:val="21"/>
                      <w:highlight w:val="none"/>
                      <w14:textFill>
                        <w14:solidFill>
                          <w14:schemeClr w14:val="tx1"/>
                        </w14:solidFill>
                      </w14:textFill>
                    </w:rPr>
                    <w:t>建设完成后将严格按照验收管理办法办理竣工环境保护验收工作。</w:t>
                  </w:r>
                </w:p>
              </w:tc>
              <w:tc>
                <w:tcPr>
                  <w:tcW w:w="62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firstLine="0"/>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bl>
          <w:p>
            <w:pPr>
              <w:autoSpaceDE w:val="0"/>
              <w:autoSpaceDN w:val="0"/>
              <w:spacing w:line="360" w:lineRule="auto"/>
              <w:ind w:firstLine="436" w:firstLineChars="200"/>
              <w:jc w:val="both"/>
              <w:rPr>
                <w:rFonts w:hint="default" w:ascii="仿宋" w:hAnsi="仿宋" w:eastAsia="仿宋" w:cs="仿宋"/>
                <w:color w:val="000000" w:themeColor="text1"/>
                <w:spacing w:val="-11"/>
                <w:sz w:val="24"/>
                <w:szCs w:val="24"/>
                <w:lang w:val="en-US" w:eastAsia="zh-CN"/>
                <w14:textFill>
                  <w14:solidFill>
                    <w14:schemeClr w14:val="tx1"/>
                  </w14:solidFill>
                </w14:textFill>
              </w:rPr>
            </w:pPr>
            <w:r>
              <w:rPr>
                <w:rFonts w:hint="default" w:ascii="仿宋" w:hAnsi="仿宋" w:eastAsia="仿宋" w:cs="仿宋"/>
                <w:color w:val="000000" w:themeColor="text1"/>
                <w:spacing w:val="-11"/>
                <w:sz w:val="24"/>
                <w:szCs w:val="24"/>
                <w:lang w:val="en-US" w:eastAsia="zh-CN"/>
                <w14:textFill>
                  <w14:solidFill>
                    <w14:schemeClr w14:val="tx1"/>
                  </w14:solidFill>
                </w14:textFill>
              </w:rPr>
              <w:t>综上所述，项目的建设符合《大理州能源发展</w:t>
            </w:r>
            <w:r>
              <w:rPr>
                <w:rFonts w:hint="eastAsia" w:ascii="仿宋" w:hAnsi="仿宋" w:eastAsia="仿宋" w:cs="仿宋"/>
                <w:color w:val="000000" w:themeColor="text1"/>
                <w:spacing w:val="-11"/>
                <w:sz w:val="24"/>
                <w:szCs w:val="24"/>
                <w:lang w:val="en-US" w:eastAsia="zh-CN"/>
                <w14:textFill>
                  <w14:solidFill>
                    <w14:schemeClr w14:val="tx1"/>
                  </w14:solidFill>
                </w14:textFill>
              </w:rPr>
              <w:t>“</w:t>
            </w:r>
            <w:r>
              <w:rPr>
                <w:rFonts w:hint="default" w:ascii="仿宋" w:hAnsi="仿宋" w:eastAsia="仿宋" w:cs="仿宋"/>
                <w:color w:val="000000" w:themeColor="text1"/>
                <w:spacing w:val="-11"/>
                <w:sz w:val="24"/>
                <w:szCs w:val="24"/>
                <w:lang w:val="en-US" w:eastAsia="zh-CN"/>
                <w14:textFill>
                  <w14:solidFill>
                    <w14:schemeClr w14:val="tx1"/>
                  </w14:solidFill>
                </w14:textFill>
              </w:rPr>
              <w:t>十四五</w:t>
            </w:r>
            <w:r>
              <w:rPr>
                <w:rFonts w:hint="eastAsia" w:ascii="仿宋" w:hAnsi="仿宋" w:eastAsia="仿宋" w:cs="仿宋"/>
                <w:color w:val="000000" w:themeColor="text1"/>
                <w:spacing w:val="-11"/>
                <w:sz w:val="24"/>
                <w:szCs w:val="24"/>
                <w:lang w:val="en-US" w:eastAsia="zh-CN"/>
                <w14:textFill>
                  <w14:solidFill>
                    <w14:schemeClr w14:val="tx1"/>
                  </w14:solidFill>
                </w14:textFill>
              </w:rPr>
              <w:t>”</w:t>
            </w:r>
            <w:r>
              <w:rPr>
                <w:rFonts w:hint="default" w:ascii="仿宋" w:hAnsi="仿宋" w:eastAsia="仿宋" w:cs="仿宋"/>
                <w:color w:val="000000" w:themeColor="text1"/>
                <w:spacing w:val="-11"/>
                <w:sz w:val="24"/>
                <w:szCs w:val="24"/>
                <w:lang w:val="en-US" w:eastAsia="zh-CN"/>
                <w14:textFill>
                  <w14:solidFill>
                    <w14:schemeClr w14:val="tx1"/>
                  </w14:solidFill>
                </w14:textFill>
              </w:rPr>
              <w:t>规划》的要求。</w:t>
            </w:r>
          </w:p>
          <w:p>
            <w:pPr>
              <w:autoSpaceDE w:val="0"/>
              <w:autoSpaceDN w:val="0"/>
              <w:adjustRightInd w:val="0"/>
              <w:snapToGrid w:val="0"/>
              <w:spacing w:line="360" w:lineRule="auto"/>
              <w:ind w:firstLine="438" w:firstLineChars="200"/>
              <w:jc w:val="both"/>
              <w:rPr>
                <w:rFonts w:hint="default" w:ascii="仿宋" w:hAnsi="仿宋" w:eastAsia="仿宋" w:cs="仿宋"/>
                <w:b/>
                <w:bCs/>
                <w:color w:val="000000" w:themeColor="text1"/>
                <w:spacing w:val="-11"/>
                <w:sz w:val="24"/>
                <w:szCs w:val="24"/>
                <w:lang w:val="en-US" w:eastAsia="zh-CN"/>
                <w14:textFill>
                  <w14:solidFill>
                    <w14:schemeClr w14:val="tx1"/>
                  </w14:solidFill>
                </w14:textFill>
              </w:rPr>
            </w:pPr>
            <w:r>
              <w:rPr>
                <w:rFonts w:hint="eastAsia" w:ascii="仿宋" w:hAnsi="仿宋" w:eastAsia="仿宋" w:cs="仿宋"/>
                <w:b/>
                <w:bCs/>
                <w:color w:val="000000" w:themeColor="text1"/>
                <w:spacing w:val="-11"/>
                <w:sz w:val="24"/>
                <w:szCs w:val="24"/>
                <w:lang w:val="en-US" w:eastAsia="zh-CN"/>
                <w14:textFill>
                  <w14:solidFill>
                    <w14:schemeClr w14:val="tx1"/>
                  </w14:solidFill>
                </w14:textFill>
              </w:rPr>
              <w:t>三、与《云南省“千乡万村驭风行动”第一批项目开发建设方案的通知》（云能源水电〔2024〕118号）符合性分析</w:t>
            </w:r>
          </w:p>
          <w:p>
            <w:pPr>
              <w:autoSpaceDE w:val="0"/>
              <w:autoSpaceDN w:val="0"/>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为贯彻落实《中共中央、国务院关于学习运用“千村示范、万村整治”工程经验 有力有效推进乡村全面振兴的意见》精神，促进农村地区风电就地就近开发利用，推动风电成为农村能源革命的新载体、助力乡村振兴的新动能，按照《云南省发展和改革委员会 云南省能源局 云南省农业农村厅关于印发〈云南省“千乡万村驭风行动”总体方案〉的通知》（云能源水电〔2024〕118号）安排等相关要求，云南省发展和改革委员会、云南省能源局 云南省农业农村厅印发了《云南省“千乡万村驭风行动”第一批项目开发建设方案的通知》（云能源水电〔2024〕118号）。</w:t>
            </w:r>
          </w:p>
          <w:p>
            <w:pPr>
              <w:autoSpaceDE w:val="0"/>
              <w:autoSpaceDN w:val="0"/>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本项目是列入《云南省“千乡万村驭风行动”第一批项目开发建设方案》中规划建设的项目之一，规划装机容量为2万千瓦，项目建设地点和规模与“清单”中一致，符合通知要求。</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970915</wp:posOffset>
                      </wp:positionH>
                      <wp:positionV relativeFrom="paragraph">
                        <wp:posOffset>278130</wp:posOffset>
                      </wp:positionV>
                      <wp:extent cx="3421380" cy="209550"/>
                      <wp:effectExtent l="6350" t="6350" r="20320" b="12700"/>
                      <wp:wrapNone/>
                      <wp:docPr id="6" name="文本框 6"/>
                      <wp:cNvGraphicFramePr/>
                      <a:graphic xmlns:a="http://schemas.openxmlformats.org/drawingml/2006/main">
                        <a:graphicData uri="http://schemas.microsoft.com/office/word/2010/wordprocessingShape">
                          <wps:wsp>
                            <wps:cNvSpPr txBox="1"/>
                            <wps:spPr>
                              <a:xfrm>
                                <a:off x="2519680" y="8150860"/>
                                <a:ext cx="3421380" cy="20955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5pt;margin-top:21.9pt;height:16.5pt;width:269.4pt;z-index:251664384;mso-width-relative:page;mso-height-relative:page;" filled="f" stroked="t" coordsize="21600,21600" o:gfxdata="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U95k3YAAAACQEAAA8AAAAAAAAAAQAgAAAAIgAAAGRycy9kb3ducmV2LnhtbFBLAQIUABQAAAAI&#10;AIdO4kAWULR+XwIAAJwEAAAOAAAAAAAAAAEAIAAAACcBAABkcnMvZTJvRG9jLnhtbFBLBQYAAAAA&#10;BgAGAFkBAAD4BQAAAAA=&#10;">
                      <v:fill on="f" focussize="0,0"/>
                      <v:stroke weight="1pt" color="#FF0000 [3204]" joinstyle="round"/>
                      <v:imagedata o:title=""/>
                      <o:lock v:ext="edit" aspectratio="f"/>
                      <v:textbox>
                        <w:txbxContent>
                          <w:p/>
                        </w:txbxContent>
                      </v:textbox>
                    </v:shape>
                  </w:pict>
                </mc:Fallback>
              </mc:AlternateConten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drawing>
                <wp:inline distT="0" distB="0" distL="114300" distR="114300">
                  <wp:extent cx="5032375" cy="991235"/>
                  <wp:effectExtent l="0" t="0" r="15875" b="18415"/>
                  <wp:docPr id="5" name="图片 5" descr="云南省“千乡万村驭风行动”第一批项目清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云南省“千乡万村驭风行动”第一批项目清单截图"/>
                          <pic:cNvPicPr>
                            <a:picLocks noChangeAspect="1"/>
                          </pic:cNvPicPr>
                        </pic:nvPicPr>
                        <pic:blipFill>
                          <a:blip r:embed="rId9"/>
                          <a:stretch>
                            <a:fillRect/>
                          </a:stretch>
                        </pic:blipFill>
                        <pic:spPr>
                          <a:xfrm>
                            <a:off x="0" y="0"/>
                            <a:ext cx="5032375" cy="991235"/>
                          </a:xfrm>
                          <a:prstGeom prst="rect">
                            <a:avLst/>
                          </a:prstGeom>
                        </pic:spPr>
                      </pic:pic>
                    </a:graphicData>
                  </a:graphic>
                </wp:inline>
              </w:drawing>
            </w:r>
          </w:p>
          <w:p>
            <w:pPr>
              <w:autoSpaceDE w:val="0"/>
              <w:autoSpaceDN w:val="0"/>
              <w:adjustRightInd w:val="0"/>
              <w:snapToGrid w:val="0"/>
              <w:spacing w:line="240" w:lineRule="auto"/>
              <w:jc w:val="center"/>
              <w:rPr>
                <w:rFonts w:hint="eastAsia" w:ascii="仿宋" w:hAnsi="仿宋" w:eastAsia="仿宋" w:cs="仿宋"/>
                <w:color w:val="000000" w:themeColor="text1"/>
                <w:kern w:val="0"/>
                <w:sz w:val="24"/>
                <w:szCs w:val="24"/>
                <w:lang w:val="en-US" w:eastAsia="zh-CN"/>
                <w14:textFill>
                  <w14:solidFill>
                    <w14:schemeClr w14:val="tx1"/>
                  </w14:solidFill>
                </w14:textFill>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10248" w:hRule="atLeast"/>
        </w:trPr>
        <w:tc>
          <w:tcPr>
            <w:tcW w:w="892" w:type="dxa"/>
            <w:tcBorders>
              <w:tl2br w:val="nil"/>
              <w:tr2bl w:val="nil"/>
            </w:tcBorders>
            <w:shd w:val="clear" w:color="auto" w:fill="FFFFFF"/>
            <w:noWrap w:val="0"/>
            <w:tcMar>
              <w:top w:w="16" w:type="dxa"/>
              <w:left w:w="16" w:type="dxa"/>
              <w:right w:w="16" w:type="dxa"/>
            </w:tcMar>
            <w:vAlign w:val="center"/>
          </w:tcPr>
          <w:p>
            <w:pPr>
              <w:autoSpaceDE w:val="0"/>
              <w:autoSpaceDN w:val="0"/>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bookmarkStart w:id="6" w:name="_Hlk56690880"/>
            <w:r>
              <w:rPr>
                <w:rFonts w:hint="eastAsia" w:ascii="仿宋" w:hAnsi="仿宋" w:eastAsia="仿宋" w:cs="仿宋"/>
                <w:color w:val="000000" w:themeColor="text1"/>
                <w:kern w:val="0"/>
                <w:sz w:val="24"/>
                <w:szCs w:val="24"/>
                <w14:textFill>
                  <w14:solidFill>
                    <w14:schemeClr w14:val="tx1"/>
                  </w14:solidFill>
                </w14:textFill>
              </w:rPr>
              <w:t>其他符合性分析</w:t>
            </w:r>
            <w:bookmarkEnd w:id="6"/>
          </w:p>
        </w:tc>
        <w:tc>
          <w:tcPr>
            <w:tcW w:w="7962" w:type="dxa"/>
            <w:gridSpan w:val="4"/>
            <w:tcBorders>
              <w:tl2br w:val="nil"/>
              <w:tr2bl w:val="nil"/>
            </w:tcBorders>
            <w:shd w:val="clear" w:color="auto" w:fill="FFFFFF"/>
            <w:noWrap w:val="0"/>
            <w:tcMar>
              <w:top w:w="16" w:type="dxa"/>
              <w:left w:w="16" w:type="dxa"/>
              <w:right w:w="16" w:type="dxa"/>
            </w:tcMar>
            <w:vAlign w:val="center"/>
          </w:tcPr>
          <w:p>
            <w:pPr>
              <w:adjustRightInd w:val="0"/>
              <w:snapToGrid w:val="0"/>
              <w:spacing w:line="360" w:lineRule="auto"/>
              <w:ind w:firstLine="482" w:firstLineChars="200"/>
              <w:rPr>
                <w:rFonts w:eastAsia="仿宋"/>
                <w:b/>
                <w:bCs/>
                <w:color w:val="000000" w:themeColor="text1"/>
                <w:sz w:val="24"/>
                <w14:textFill>
                  <w14:solidFill>
                    <w14:schemeClr w14:val="tx1"/>
                  </w14:solidFill>
                </w14:textFill>
              </w:rPr>
            </w:pPr>
            <w:r>
              <w:rPr>
                <w:rFonts w:hint="eastAsia" w:eastAsia="仿宋"/>
                <w:b/>
                <w:bCs/>
                <w:color w:val="000000" w:themeColor="text1"/>
                <w:sz w:val="24"/>
                <w:lang w:eastAsia="zh-CN"/>
                <w14:textFill>
                  <w14:solidFill>
                    <w14:schemeClr w14:val="tx1"/>
                  </w14:solidFill>
                </w14:textFill>
              </w:rPr>
              <w:t>一</w:t>
            </w:r>
            <w:r>
              <w:rPr>
                <w:rFonts w:eastAsia="仿宋"/>
                <w:b/>
                <w:bCs/>
                <w:color w:val="000000" w:themeColor="text1"/>
                <w:sz w:val="24"/>
                <w14:textFill>
                  <w14:solidFill>
                    <w14:schemeClr w14:val="tx1"/>
                  </w14:solidFill>
                </w14:textFill>
              </w:rPr>
              <w:t>、项目与云南省生态环境分区管控符合性分析</w:t>
            </w:r>
          </w:p>
          <w:p>
            <w:pPr>
              <w:adjustRightInd w:val="0"/>
              <w:snapToGrid w:val="0"/>
              <w:spacing w:line="360" w:lineRule="auto"/>
              <w:ind w:firstLine="480" w:firstLineChars="200"/>
              <w:rPr>
                <w:rFonts w:hint="eastAsia" w:eastAsia="仿宋"/>
                <w:color w:val="000000" w:themeColor="text1"/>
                <w:sz w:val="24"/>
                <w:lang w:eastAsia="zh-CN"/>
                <w14:textFill>
                  <w14:solidFill>
                    <w14:schemeClr w14:val="tx1"/>
                  </w14:solidFill>
                </w14:textFill>
              </w:rPr>
            </w:pPr>
            <w:r>
              <w:rPr>
                <w:rFonts w:hint="eastAsia" w:eastAsia="仿宋"/>
                <w:color w:val="000000" w:themeColor="text1"/>
                <w:sz w:val="24"/>
                <w:lang w:eastAsia="zh-CN"/>
                <w14:textFill>
                  <w14:solidFill>
                    <w14:schemeClr w14:val="tx1"/>
                  </w14:solidFill>
                </w14:textFill>
              </w:rPr>
              <w:t>2024年11月19日，云南省生态环境厅依据生态环境部《2023年生态环境分区管控成果动态更新工作方案》（环办环评函﹝2023﹞81号）要求，组织开展了云南省生态环境分区管控成果动态更新工作，更新成果已报送生态环境部完成备案。经云南省人民政府批准，发布了《云南省生态环境分区管控动态更新方案（2023）》的公告并予以实施。项目与《云南省生态环境分区管控动态更新方案（2023）》的符合性分析详见表1-</w:t>
            </w:r>
            <w:r>
              <w:rPr>
                <w:rFonts w:hint="eastAsia" w:eastAsia="仿宋"/>
                <w:color w:val="000000" w:themeColor="text1"/>
                <w:sz w:val="24"/>
                <w:lang w:val="en-US" w:eastAsia="zh-CN"/>
                <w14:textFill>
                  <w14:solidFill>
                    <w14:schemeClr w14:val="tx1"/>
                  </w14:solidFill>
                </w14:textFill>
              </w:rPr>
              <w:t>4</w:t>
            </w:r>
            <w:r>
              <w:rPr>
                <w:rFonts w:hint="eastAsia" w:eastAsia="仿宋"/>
                <w:color w:val="000000" w:themeColor="text1"/>
                <w:sz w:val="24"/>
                <w:lang w:eastAsia="zh-CN"/>
                <w14:textFill>
                  <w14:solidFill>
                    <w14:schemeClr w14:val="tx1"/>
                  </w14:solidFill>
                </w14:textFill>
              </w:rPr>
              <w:t xml:space="preserve">。 </w:t>
            </w:r>
          </w:p>
          <w:p>
            <w:pPr>
              <w:adjustRightInd w:val="0"/>
              <w:snapToGrid w:val="0"/>
              <w:spacing w:line="360" w:lineRule="auto"/>
              <w:ind w:firstLine="422" w:firstLineChars="200"/>
              <w:jc w:val="center"/>
              <w:rPr>
                <w:rFonts w:hint="eastAsia" w:eastAsia="仿宋"/>
                <w:b/>
                <w:bCs/>
                <w:color w:val="000000" w:themeColor="text1"/>
                <w:sz w:val="24"/>
                <w:vertAlign w:val="baseline"/>
                <w14:textFill>
                  <w14:solidFill>
                    <w14:schemeClr w14:val="tx1"/>
                  </w14:solidFill>
                </w14:textFill>
              </w:rPr>
            </w:pPr>
            <w:r>
              <w:rPr>
                <w:rFonts w:eastAsia="仿宋"/>
                <w:b/>
                <w:bCs/>
                <w:color w:val="000000" w:themeColor="text1"/>
                <w:szCs w:val="21"/>
                <w14:textFill>
                  <w14:solidFill>
                    <w14:schemeClr w14:val="tx1"/>
                  </w14:solidFill>
                </w14:textFill>
              </w:rPr>
              <w:t>表1-</w:t>
            </w:r>
            <w:r>
              <w:rPr>
                <w:rFonts w:hint="eastAsia" w:eastAsia="仿宋"/>
                <w:b/>
                <w:bCs/>
                <w:color w:val="000000" w:themeColor="text1"/>
                <w:szCs w:val="21"/>
                <w:lang w:val="en-US" w:eastAsia="zh-CN"/>
                <w14:textFill>
                  <w14:solidFill>
                    <w14:schemeClr w14:val="tx1"/>
                  </w14:solidFill>
                </w14:textFill>
              </w:rPr>
              <w:t>4</w:t>
            </w:r>
            <w:r>
              <w:rPr>
                <w:rFonts w:eastAsia="仿宋"/>
                <w:b/>
                <w:bCs/>
                <w:color w:val="000000" w:themeColor="text1"/>
                <w:szCs w:val="21"/>
                <w14:textFill>
                  <w14:solidFill>
                    <w14:schemeClr w14:val="tx1"/>
                  </w14:solidFill>
                </w14:textFill>
              </w:rPr>
              <w:t>项目与云南省生态环境分区管控符合性分析</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112"/>
              <w:gridCol w:w="3068"/>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eastAsia="仿宋"/>
                      <w:b/>
                      <w:bCs/>
                      <w:color w:val="000000" w:themeColor="text1"/>
                      <w:sz w:val="21"/>
                      <w:szCs w:val="21"/>
                      <w:vertAlign w:val="baseline"/>
                      <w:lang w:eastAsia="zh-CN"/>
                      <w14:textFill>
                        <w14:solidFill>
                          <w14:schemeClr w14:val="tx1"/>
                        </w14:solidFill>
                      </w14:textFill>
                    </w:rPr>
                  </w:pPr>
                  <w:r>
                    <w:rPr>
                      <w:rFonts w:hint="eastAsia" w:eastAsia="仿宋"/>
                      <w:b/>
                      <w:bCs/>
                      <w:color w:val="000000" w:themeColor="text1"/>
                      <w:sz w:val="21"/>
                      <w:szCs w:val="21"/>
                      <w:vertAlign w:val="baseline"/>
                      <w:lang w:eastAsia="zh-CN"/>
                      <w14:textFill>
                        <w14:solidFill>
                          <w14:schemeClr w14:val="tx1"/>
                        </w14:solidFill>
                      </w14:textFill>
                    </w:rPr>
                    <w:t>内容</w:t>
                  </w:r>
                </w:p>
              </w:tc>
              <w:tc>
                <w:tcPr>
                  <w:tcW w:w="1965" w:type="pct"/>
                  <w:noWrap w:val="0"/>
                  <w:vAlign w:val="center"/>
                </w:tcPr>
                <w:p>
                  <w:pPr>
                    <w:adjustRightInd w:val="0"/>
                    <w:snapToGrid w:val="0"/>
                    <w:spacing w:line="240" w:lineRule="auto"/>
                    <w:jc w:val="center"/>
                    <w:rPr>
                      <w:rFonts w:hint="eastAsia" w:eastAsia="仿宋"/>
                      <w:b/>
                      <w:bCs/>
                      <w:color w:val="000000" w:themeColor="text1"/>
                      <w:sz w:val="21"/>
                      <w:szCs w:val="21"/>
                      <w:vertAlign w:val="baseline"/>
                      <w:lang w:eastAsia="zh-CN"/>
                      <w14:textFill>
                        <w14:solidFill>
                          <w14:schemeClr w14:val="tx1"/>
                        </w14:solidFill>
                      </w14:textFill>
                    </w:rPr>
                  </w:pPr>
                  <w:r>
                    <w:rPr>
                      <w:rFonts w:hint="eastAsia" w:eastAsia="仿宋"/>
                      <w:b/>
                      <w:bCs/>
                      <w:color w:val="000000" w:themeColor="text1"/>
                      <w:sz w:val="21"/>
                      <w:szCs w:val="21"/>
                      <w:vertAlign w:val="baseline"/>
                      <w:lang w:eastAsia="zh-CN"/>
                      <w14:textFill>
                        <w14:solidFill>
                          <w14:schemeClr w14:val="tx1"/>
                        </w14:solidFill>
                      </w14:textFill>
                    </w:rPr>
                    <w:t>具体要求</w:t>
                  </w:r>
                </w:p>
              </w:tc>
              <w:tc>
                <w:tcPr>
                  <w:tcW w:w="1937" w:type="pct"/>
                  <w:noWrap w:val="0"/>
                  <w:vAlign w:val="center"/>
                </w:tcPr>
                <w:p>
                  <w:pPr>
                    <w:adjustRightInd w:val="0"/>
                    <w:snapToGrid w:val="0"/>
                    <w:spacing w:line="240" w:lineRule="auto"/>
                    <w:jc w:val="center"/>
                    <w:rPr>
                      <w:rFonts w:hint="eastAsia" w:eastAsia="仿宋"/>
                      <w:b/>
                      <w:bCs/>
                      <w:color w:val="000000" w:themeColor="text1"/>
                      <w:sz w:val="21"/>
                      <w:szCs w:val="21"/>
                      <w:vertAlign w:val="baseline"/>
                      <w:lang w:eastAsia="zh-CN"/>
                      <w14:textFill>
                        <w14:solidFill>
                          <w14:schemeClr w14:val="tx1"/>
                        </w14:solidFill>
                      </w14:textFill>
                    </w:rPr>
                  </w:pPr>
                  <w:r>
                    <w:rPr>
                      <w:rFonts w:hint="eastAsia" w:eastAsia="仿宋"/>
                      <w:b/>
                      <w:bCs/>
                      <w:color w:val="000000" w:themeColor="text1"/>
                      <w:sz w:val="21"/>
                      <w:szCs w:val="21"/>
                      <w:vertAlign w:val="baseline"/>
                      <w:lang w:eastAsia="zh-CN"/>
                      <w14:textFill>
                        <w14:solidFill>
                          <w14:schemeClr w14:val="tx1"/>
                        </w14:solidFill>
                      </w14:textFill>
                    </w:rPr>
                    <w:t>本工程基本情况</w:t>
                  </w:r>
                </w:p>
              </w:tc>
              <w:tc>
                <w:tcPr>
                  <w:tcW w:w="562" w:type="pct"/>
                  <w:noWrap w:val="0"/>
                  <w:vAlign w:val="center"/>
                </w:tcPr>
                <w:p>
                  <w:pPr>
                    <w:adjustRightInd w:val="0"/>
                    <w:snapToGrid w:val="0"/>
                    <w:spacing w:line="240" w:lineRule="auto"/>
                    <w:jc w:val="center"/>
                    <w:rPr>
                      <w:rFonts w:hint="eastAsia" w:eastAsia="仿宋"/>
                      <w:b/>
                      <w:bCs/>
                      <w:color w:val="000000" w:themeColor="text1"/>
                      <w:sz w:val="21"/>
                      <w:szCs w:val="21"/>
                      <w:vertAlign w:val="baseline"/>
                      <w:lang w:eastAsia="zh-CN"/>
                      <w14:textFill>
                        <w14:solidFill>
                          <w14:schemeClr w14:val="tx1"/>
                        </w14:solidFill>
                      </w14:textFill>
                    </w:rPr>
                  </w:pPr>
                  <w:r>
                    <w:rPr>
                      <w:rFonts w:hint="eastAsia" w:eastAsia="仿宋"/>
                      <w:b/>
                      <w:bCs/>
                      <w:color w:val="000000" w:themeColor="text1"/>
                      <w:sz w:val="21"/>
                      <w:szCs w:val="21"/>
                      <w:vertAlign w:val="baseline"/>
                      <w:lang w:eastAsia="zh-CN"/>
                      <w14:textFill>
                        <w14:solidFill>
                          <w14:schemeClr w14:val="tx1"/>
                        </w14:solidFill>
                      </w14:textFill>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adjustRightInd w:val="0"/>
                    <w:snapToGrid w:val="0"/>
                    <w:spacing w:line="240" w:lineRule="auto"/>
                    <w:jc w:val="center"/>
                    <w:rPr>
                      <w:rFonts w:hint="eastAsia" w:eastAsia="仿宋"/>
                      <w:b/>
                      <w:bCs/>
                      <w:color w:val="000000" w:themeColor="text1"/>
                      <w:sz w:val="21"/>
                      <w:szCs w:val="21"/>
                      <w:vertAlign w:val="baseline"/>
                      <w14:textFill>
                        <w14:solidFill>
                          <w14:schemeClr w14:val="tx1"/>
                        </w14:solidFill>
                      </w14:textFill>
                    </w:rPr>
                  </w:pPr>
                  <w:r>
                    <w:rPr>
                      <w:rFonts w:hint="eastAsia" w:eastAsia="仿宋"/>
                      <w:b/>
                      <w:bCs/>
                      <w:color w:val="000000" w:themeColor="text1"/>
                      <w:sz w:val="21"/>
                      <w:szCs w:val="21"/>
                      <w:vertAlign w:val="baseline"/>
                      <w14:textFill>
                        <w14:solidFill>
                          <w14:schemeClr w14:val="tx1"/>
                        </w14:solidFill>
                      </w14:textFill>
                    </w:rPr>
                    <w:t>云南省生态环境分区管控总体管控要求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restar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全省</w:t>
                  </w: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14:textFill>
                        <w14:solidFill>
                          <w14:schemeClr w14:val="tx1"/>
                        </w14:solidFill>
                      </w14:textFill>
                    </w:rPr>
                  </w:pPr>
                  <w:r>
                    <w:rPr>
                      <w:rFonts w:hint="eastAsia" w:ascii="仿宋" w:hAnsi="仿宋" w:eastAsia="仿宋" w:cs="仿宋"/>
                      <w:b w:val="0"/>
                      <w:bCs w:val="0"/>
                      <w:color w:val="000000" w:themeColor="text1"/>
                      <w:sz w:val="21"/>
                      <w:szCs w:val="21"/>
                      <w:vertAlign w:val="baseline"/>
                      <w14:textFill>
                        <w14:solidFill>
                          <w14:schemeClr w14:val="tx1"/>
                        </w14:solidFill>
                      </w14:textFill>
                    </w:rPr>
                    <w:t>1.严格落实生态环境保护法律法规标准和有关政策，强化污染防治和自然生态系统保护修复，改善区域生态环境质量。按照区域环境承载能力，优化产业空间布局，加快产业结构调整，严格环境准入，强化污染物排放管控，实现固定污染源排污许可全覆盖。</w:t>
                  </w:r>
                </w:p>
              </w:tc>
              <w:tc>
                <w:tcPr>
                  <w:tcW w:w="1937"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项目依据相关要求开展环境影响评价文件的编制工作。项目的污染源主要在施工期间。项目在施工期</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无</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 xml:space="preserve">废水向外排放。所产生的废气呈无组织排放状态，且排放的无组织废气未涉及国家总量控制指标所要求控制的污染因子。经对照《产业结构调整指导目录（2024年本）》，项目属于允许类项目。 </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14:textFill>
                        <w14:solidFill>
                          <w14:schemeClr w14:val="tx1"/>
                        </w14:solidFill>
                      </w14:textFill>
                    </w:rPr>
                  </w:pPr>
                  <w:r>
                    <w:rPr>
                      <w:rFonts w:hint="eastAsia" w:ascii="仿宋" w:hAnsi="仿宋" w:eastAsia="仿宋" w:cs="仿宋"/>
                      <w:b w:val="0"/>
                      <w:bCs w:val="0"/>
                      <w:color w:val="000000" w:themeColor="text1"/>
                      <w:sz w:val="21"/>
                      <w:szCs w:val="21"/>
                      <w:vertAlign w:val="baseline"/>
                      <w14:textFill>
                        <w14:solidFill>
                          <w14:schemeClr w14:val="tx1"/>
                        </w14:solidFill>
                      </w14:textFill>
                    </w:rPr>
                    <w:t>2.充分考虑水资源、水环境</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14:textFill>
                        <w14:solidFill>
                          <w14:schemeClr w14:val="tx1"/>
                        </w14:solidFill>
                      </w14:textFill>
                    </w:rPr>
                  </w:pPr>
                  <w:r>
                    <w:rPr>
                      <w:rFonts w:hint="eastAsia" w:ascii="仿宋" w:hAnsi="仿宋" w:eastAsia="仿宋" w:cs="仿宋"/>
                      <w:b w:val="0"/>
                      <w:bCs w:val="0"/>
                      <w:color w:val="000000" w:themeColor="text1"/>
                      <w:sz w:val="21"/>
                      <w:szCs w:val="21"/>
                      <w:vertAlign w:val="baseline"/>
                      <w14:textFill>
                        <w14:solidFill>
                          <w14:schemeClr w14:val="tx1"/>
                        </w14:solidFill>
                      </w14:textFill>
                    </w:rPr>
                    <w:t>承载力，坚持以水定城、以水定地、以水定人、以水定产。保护优良水体和饮用水源，整治不达标水体，统筹推进水污染防治、水生态保护和水资源管理，全面改善水环境质量。</w:t>
                  </w:r>
                </w:p>
              </w:tc>
              <w:tc>
                <w:tcPr>
                  <w:tcW w:w="1937" w:type="pct"/>
                  <w:noWrap w:val="0"/>
                  <w:vAlign w:val="center"/>
                </w:tcPr>
                <w:p>
                  <w:pPr>
                    <w:spacing w:line="240" w:lineRule="auto"/>
                    <w:ind w:firstLine="48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w:t>
                  </w:r>
                  <w:r>
                    <w:rPr>
                      <w:rFonts w:hint="eastAsia" w:ascii="仿宋" w:hAnsi="仿宋" w:eastAsia="仿宋" w:cs="仿宋"/>
                      <w:b w:val="0"/>
                      <w:bCs w:val="0"/>
                      <w:color w:val="000000" w:themeColor="text1"/>
                      <w:sz w:val="21"/>
                      <w:szCs w:val="21"/>
                      <w:vertAlign w:val="baseline"/>
                      <w14:textFill>
                        <w14:solidFill>
                          <w14:schemeClr w14:val="tx1"/>
                        </w14:solidFill>
                      </w14:textFill>
                    </w:rPr>
                    <w:t>项目</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区附近</w:t>
                  </w:r>
                  <w:r>
                    <w:rPr>
                      <w:rFonts w:hint="eastAsia" w:ascii="仿宋" w:hAnsi="仿宋" w:eastAsia="仿宋" w:cs="仿宋"/>
                      <w:b w:val="0"/>
                      <w:bCs w:val="0"/>
                      <w:color w:val="000000" w:themeColor="text1"/>
                      <w:sz w:val="21"/>
                      <w:szCs w:val="21"/>
                      <w:vertAlign w:val="baseline"/>
                      <w14:textFill>
                        <w14:solidFill>
                          <w14:schemeClr w14:val="tx1"/>
                        </w14:solidFill>
                      </w14:textFill>
                    </w:rPr>
                    <w:t>地表水为</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星峰水库、大沟</w:t>
                  </w:r>
                  <w:r>
                    <w:rPr>
                      <w:rFonts w:hint="eastAsia" w:ascii="仿宋" w:hAnsi="仿宋" w:eastAsia="仿宋" w:cs="仿宋"/>
                      <w:b w:val="0"/>
                      <w:bCs w:val="0"/>
                      <w:color w:val="000000" w:themeColor="text1"/>
                      <w:sz w:val="21"/>
                      <w:szCs w:val="21"/>
                      <w:vertAlign w:val="baseline"/>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项目区最近地表水体为大沟，大沟隶属于密祉河上游水系，密祉河自西向东汇入毗雄河，毗雄河自北向南最终汇入礼社江。</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根据《大理白族自治州水功能区划（</w:t>
                  </w:r>
                  <w:r>
                    <w:rPr>
                      <w:rFonts w:hint="default" w:ascii="仿宋" w:hAnsi="仿宋" w:eastAsia="仿宋" w:cs="仿宋"/>
                      <w:color w:val="000000" w:themeColor="text1"/>
                      <w:sz w:val="21"/>
                      <w:szCs w:val="21"/>
                      <w:lang w:val="en-US" w:eastAsia="zh-CN"/>
                      <w14:textFill>
                        <w14:solidFill>
                          <w14:schemeClr w14:val="tx1"/>
                        </w14:solidFill>
                      </w14:textFill>
                    </w:rPr>
                    <w:t>2015</w:t>
                  </w:r>
                  <w:r>
                    <w:rPr>
                      <w:rFonts w:hint="eastAsia" w:ascii="仿宋" w:hAnsi="仿宋" w:eastAsia="仿宋" w:cs="仿宋"/>
                      <w:color w:val="000000" w:themeColor="text1"/>
                      <w:sz w:val="21"/>
                      <w:szCs w:val="21"/>
                      <w:lang w:val="en-US" w:eastAsia="zh-CN"/>
                      <w14:textFill>
                        <w14:solidFill>
                          <w14:schemeClr w14:val="tx1"/>
                        </w14:solidFill>
                      </w14:textFill>
                    </w:rPr>
                    <w:t>年修订）》，项目区域的毗雄河属于一级区划中的红河流域保留区的毗雄河弥渡</w:t>
                  </w:r>
                  <w:r>
                    <w:rPr>
                      <w:rFonts w:hint="default" w:ascii="仿宋" w:hAnsi="仿宋" w:eastAsia="仿宋" w:cs="仿宋"/>
                      <w:color w:val="000000" w:themeColor="text1"/>
                      <w:sz w:val="21"/>
                      <w:szCs w:val="21"/>
                      <w:lang w:val="en-US"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 xml:space="preserve">南涧保留区，由弥渡县东武邑水文站至南涧县入元江口，全长 </w:t>
                  </w:r>
                  <w:r>
                    <w:rPr>
                      <w:rFonts w:hint="default" w:ascii="仿宋" w:hAnsi="仿宋" w:eastAsia="仿宋" w:cs="仿宋"/>
                      <w:color w:val="000000" w:themeColor="text1"/>
                      <w:sz w:val="21"/>
                      <w:szCs w:val="21"/>
                      <w:lang w:val="en-US" w:eastAsia="zh-CN"/>
                      <w14:textFill>
                        <w14:solidFill>
                          <w14:schemeClr w14:val="tx1"/>
                        </w14:solidFill>
                      </w14:textFill>
                    </w:rPr>
                    <w:t>38.6km</w:t>
                  </w:r>
                  <w:r>
                    <w:rPr>
                      <w:rFonts w:hint="eastAsia" w:ascii="仿宋" w:hAnsi="仿宋" w:eastAsia="仿宋" w:cs="仿宋"/>
                      <w:color w:val="000000" w:themeColor="text1"/>
                      <w:sz w:val="21"/>
                      <w:szCs w:val="21"/>
                      <w:lang w:val="en-US" w:eastAsia="zh-CN"/>
                      <w14:textFill>
                        <w14:solidFill>
                          <w14:schemeClr w14:val="tx1"/>
                        </w14:solidFill>
                      </w14:textFill>
                    </w:rPr>
                    <w:t>，水质类别为Ⅱ类，地表水执行《地表水环境质量标准》（</w:t>
                  </w:r>
                  <w:r>
                    <w:rPr>
                      <w:rFonts w:hint="default" w:ascii="仿宋" w:hAnsi="仿宋" w:eastAsia="仿宋" w:cs="仿宋"/>
                      <w:color w:val="000000" w:themeColor="text1"/>
                      <w:sz w:val="21"/>
                      <w:szCs w:val="21"/>
                      <w:lang w:val="en-US" w:eastAsia="zh-CN"/>
                      <w14:textFill>
                        <w14:solidFill>
                          <w14:schemeClr w14:val="tx1"/>
                        </w14:solidFill>
                      </w14:textFill>
                    </w:rPr>
                    <w:t>GB3838-2002</w:t>
                  </w:r>
                  <w:r>
                    <w:rPr>
                      <w:rFonts w:hint="eastAsia" w:ascii="仿宋" w:hAnsi="仿宋" w:eastAsia="仿宋" w:cs="仿宋"/>
                      <w:color w:val="000000" w:themeColor="text1"/>
                      <w:sz w:val="21"/>
                      <w:szCs w:val="21"/>
                      <w:lang w:val="en-US" w:eastAsia="zh-CN"/>
                      <w14:textFill>
                        <w14:solidFill>
                          <w14:schemeClr w14:val="tx1"/>
                        </w14:solidFill>
                      </w14:textFill>
                    </w:rPr>
                    <w:t>）Ⅱ类水质标准。</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2.</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本项目属于风力发电项目，</w:t>
                  </w:r>
                  <w:r>
                    <w:rPr>
                      <w:rFonts w:hint="default" w:ascii="Times New Roman" w:hAnsi="Times New Roman" w:eastAsia="仿宋" w:cs="Times New Roman"/>
                      <w:bCs/>
                      <w:color w:val="000000" w:themeColor="text1"/>
                      <w:sz w:val="21"/>
                      <w:szCs w:val="21"/>
                      <w14:textFill>
                        <w14:solidFill>
                          <w14:schemeClr w14:val="tx1"/>
                        </w14:solidFill>
                      </w14:textFill>
                    </w:rPr>
                    <w:t>项目施工废水、施工人员洗手废水</w:t>
                  </w:r>
                  <w:r>
                    <w:rPr>
                      <w:rFonts w:hint="default" w:ascii="Times New Roman" w:hAnsi="Times New Roman" w:eastAsia="仿宋" w:cs="Times New Roman"/>
                      <w:bCs/>
                      <w:color w:val="000000" w:themeColor="text1"/>
                      <w:sz w:val="21"/>
                      <w:szCs w:val="21"/>
                      <w:lang w:val="en-US" w:eastAsia="zh-CN"/>
                      <w14:textFill>
                        <w14:solidFill>
                          <w14:schemeClr w14:val="tx1"/>
                        </w14:solidFill>
                      </w14:textFill>
                    </w:rPr>
                    <w:t>经</w:t>
                  </w:r>
                  <w:r>
                    <w:rPr>
                      <w:rFonts w:hint="default" w:ascii="Times New Roman" w:hAnsi="Times New Roman" w:eastAsia="仿宋" w:cs="Times New Roman"/>
                      <w:bCs/>
                      <w:color w:val="000000" w:themeColor="text1"/>
                      <w:sz w:val="21"/>
                      <w:szCs w:val="21"/>
                      <w14:textFill>
                        <w14:solidFill>
                          <w14:schemeClr w14:val="tx1"/>
                        </w14:solidFill>
                      </w14:textFill>
                    </w:rPr>
                    <w:t>沉淀池收集处理后全部回用于施工生产及洒水降尘。</w:t>
                  </w:r>
                  <w:r>
                    <w:rPr>
                      <w:rFonts w:hint="default" w:ascii="Times New Roman" w:hAnsi="Times New Roman" w:eastAsia="仿宋" w:cs="Times New Roman"/>
                      <w:bCs/>
                      <w:color w:val="000000" w:themeColor="text1"/>
                      <w:sz w:val="21"/>
                      <w:szCs w:val="21"/>
                      <w:lang w:val="en-US" w:eastAsia="zh-CN"/>
                      <w14:textFill>
                        <w14:solidFill>
                          <w14:schemeClr w14:val="tx1"/>
                        </w14:solidFill>
                      </w14:textFill>
                    </w:rPr>
                    <w:t>项目属于风力发电项目，</w:t>
                  </w:r>
                  <w:r>
                    <w:rPr>
                      <w:rFonts w:hint="default" w:ascii="Times New Roman" w:hAnsi="Times New Roman" w:eastAsia="仿宋" w:cs="Times New Roman"/>
                      <w:bCs/>
                      <w:color w:val="000000" w:themeColor="text1"/>
                      <w:sz w:val="21"/>
                      <w:szCs w:val="21"/>
                      <w14:textFill>
                        <w14:solidFill>
                          <w14:schemeClr w14:val="tx1"/>
                        </w14:solidFill>
                      </w14:textFill>
                    </w:rPr>
                    <w:t>运行期</w:t>
                  </w:r>
                  <w:r>
                    <w:rPr>
                      <w:rFonts w:hint="default" w:ascii="Times New Roman" w:hAnsi="Times New Roman" w:eastAsia="仿宋" w:cs="Times New Roman"/>
                      <w:bCs/>
                      <w:color w:val="000000" w:themeColor="text1"/>
                      <w:sz w:val="21"/>
                      <w:szCs w:val="21"/>
                      <w:lang w:val="en-US" w:eastAsia="zh-CN"/>
                      <w14:textFill>
                        <w14:solidFill>
                          <w14:schemeClr w14:val="tx1"/>
                        </w14:solidFill>
                      </w14:textFill>
                    </w:rPr>
                    <w:t>不排放废气</w:t>
                  </w:r>
                  <w:r>
                    <w:rPr>
                      <w:rFonts w:hint="eastAsia" w:ascii="Times New Roman" w:hAnsi="Times New Roman" w:eastAsia="仿宋" w:cs="Times New Roman"/>
                      <w:bCs/>
                      <w:color w:val="000000" w:themeColor="text1"/>
                      <w:sz w:val="21"/>
                      <w:szCs w:val="21"/>
                      <w:lang w:val="en-US" w:eastAsia="zh-CN"/>
                      <w14:textFill>
                        <w14:solidFill>
                          <w14:schemeClr w14:val="tx1"/>
                        </w14:solidFill>
                      </w14:textFill>
                    </w:rPr>
                    <w:t>及生产</w:t>
                  </w:r>
                  <w:r>
                    <w:rPr>
                      <w:rFonts w:hint="default" w:ascii="Times New Roman" w:hAnsi="Times New Roman" w:eastAsia="仿宋" w:cs="Times New Roman"/>
                      <w:bCs/>
                      <w:color w:val="000000" w:themeColor="text1"/>
                      <w:sz w:val="21"/>
                      <w:szCs w:val="21"/>
                      <w:lang w:val="en-US" w:eastAsia="zh-CN"/>
                      <w14:textFill>
                        <w14:solidFill>
                          <w14:schemeClr w14:val="tx1"/>
                        </w14:solidFill>
                      </w14:textFill>
                    </w:rPr>
                    <w:t>废水</w:t>
                  </w:r>
                  <w:r>
                    <w:rPr>
                      <w:rFonts w:hint="eastAsia" w:ascii="Times New Roman" w:hAnsi="Times New Roman" w:eastAsia="仿宋" w:cs="Times New Roman"/>
                      <w:bCs/>
                      <w:color w:val="000000" w:themeColor="text1"/>
                      <w:sz w:val="21"/>
                      <w:szCs w:val="21"/>
                      <w:lang w:eastAsia="zh-CN"/>
                      <w14:textFill>
                        <w14:solidFill>
                          <w14:schemeClr w14:val="tx1"/>
                        </w14:solidFill>
                      </w14:textFill>
                    </w:rPr>
                    <w:t>，少量的生活污水经一体化污水处理站处理后回用，不外排。</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3.巩固提高环境空气质量，</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调整优化产业、能源、运输和用地结构，加快城市建成区重污染企业搬迁改造或关闭退出，加强“散乱污”企业综合整治。深化工业污染治理，加大机动车污染防</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治和扬尘综合治理力度，加强秸秆综合利用，强化大气污染联防联控。</w:t>
                  </w:r>
                </w:p>
              </w:tc>
              <w:tc>
                <w:tcPr>
                  <w:tcW w:w="1937" w:type="pct"/>
                  <w:noWrap w:val="0"/>
                  <w:vAlign w:val="center"/>
                </w:tcPr>
                <w:p>
                  <w:pPr>
                    <w:snapToGrid w:val="0"/>
                    <w:spacing w:line="240" w:lineRule="auto"/>
                    <w:ind w:firstLine="420" w:firstLineChars="200"/>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项目评价区的环境空气质量状况良好，符合二类区标准。在</w:t>
                  </w:r>
                  <w:r>
                    <w:rPr>
                      <w:rFonts w:hint="eastAsia" w:ascii="仿宋" w:hAnsi="仿宋" w:eastAsia="仿宋" w:cs="仿宋"/>
                      <w:color w:val="000000" w:themeColor="text1"/>
                      <w:sz w:val="21"/>
                      <w:szCs w:val="21"/>
                      <w:highlight w:val="none"/>
                      <w:lang w:val="en-US" w:eastAsia="zh-CN"/>
                      <w14:textFill>
                        <w14:solidFill>
                          <w14:schemeClr w14:val="tx1"/>
                        </w14:solidFill>
                      </w14:textFill>
                    </w:rPr>
                    <w:t>本项目施工期大气污染物主要为施工扬尘、道路扬尘、施工机械燃油废气。根据现场踏勘，项目开关站及风机基础等施工距离敏感点较远，且因地形山势阻隔，对敏感点影响较小。此外，项目工程施工物流运输途经多个居民点，项目运输扬尘对居民点有一定影响，为减轻对居民点的影响，本次环评要求项目施工严格按照《中华人民共和国大气污染防治法》、《云南省大气污染防治条例》等有关规定，采取环评提出的扬尘污染防治措施后，施工期扬尘排放将极大程度上减小。因此，项目施工期产生的扬尘对环境保护目标及环境空气的影响是短期的，并将随施工期的结束而结束</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，不会改变评价区的环境空气功能。项目运营期无废气产生，对环境空气质量影响较小。</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4.加强土壤污染防治，对农</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用地实施分类管理，对建设用地实行准入管理，确定土壤污染重点监管单位，实施土壤污染风险管控和修复名录制度，对污染地块开发利用实行联动监管。</w:t>
                  </w:r>
                </w:p>
              </w:tc>
              <w:tc>
                <w:tcPr>
                  <w:tcW w:w="1937"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 xml:space="preserve">在项目施工过程中，不采用会对土壤环境质量产生影响的材料及化学药剂等。施工工作完成后，临时占地及时开展回填作业，确保不改变所占用土地的使用功能，维持区域土壤环境质量现状不变。 </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vMerge w:val="continue"/>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5.严守资源利用上线，实行</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能源和水资源消耗、建设用地等总量和强度双控，实施工业节能增效，加快发展清洁能源和新能源。</w:t>
                  </w:r>
                </w:p>
              </w:tc>
              <w:tc>
                <w:tcPr>
                  <w:tcW w:w="1937"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本项目为风力发电项目，仅在施工期及运营期使用少量的水、电资源，能源消耗量较小。</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法律法</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规规定，没有明确规定的，加强论证和管理。</w:t>
                  </w:r>
                </w:p>
              </w:tc>
              <w:tc>
                <w:tcPr>
                  <w:tcW w:w="1937"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本项目不涉及一般生态空间优先保护单元</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2.暂未纳入生态保护红线的自然保护地按照自然保护地相关法律法规进行管理；重要湿地依据《中华人民共和国湿地保护法》《云</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南省湿地保护条例》《云南省人民政府关于加强湿地保护工作的意见》等进行管理；生态公益林依据《国家级公益林管理办法》《云南省公益林管理办法》进行管理；天然林依据《国家林业局关于严格保护天然林的通知》（林资发〔2015〕181 号）《中共中央办公厅 国务院办公厅关于印发〈天然林保护修复制度方案〉的通知》（厅字〔2019〕39 号）</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等进行管理；水产种质资源保护区依据《水产种质资源保护区管理办法》进行管理；饮用水水源保护区依据《中华人民共和国水污染防治法》《饮用水水源保护</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区污染防治管理规定》《中华人民共和国水法》《地下水管理条例》《云南省地下水管理办法》等进行管理。</w:t>
                  </w:r>
                </w:p>
              </w:tc>
              <w:tc>
                <w:tcPr>
                  <w:tcW w:w="1937"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1.依据</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大自然资探审字〔2022〕30号审查意见（详见附件6）</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经弥渡县多部门审核、大理州自然资源和规划局复核，该项目用地不涉及自然保护区、国家公园、三江并流世界自然遗产地、风景名胜区、森林公园、水资源保护区、地质公园、地质遗迹、生态保护红线、矿产资源规划禁限区等重要区域，符合相关管控要求。2.</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据</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建设单位提供资料本项目用地区域为</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林地。本项目为经营性项目，立项依据充分，不属于《禁止供地项目目录》《限制供地项目目录》所列禁限供地项目。项目使用林地符合国家林业局令第35号、《建设项目使用林地审核审批管理规范》（林资规〔2021〕5号）及《云南省林业和草原局关于进一步完善贯彻落实〈建设项目使用林地审核审批管理规范〉有关政策的补充通知》（云林规〔2022〕4号）规定；</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后续建设中如</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涉及未批准林地的，需依法办理使用林地手续。</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3.重点高原湖泊流域按照云南省重点高原湖泊保护条例、《云南省人民政府关于九大高原湖泊“三区”管控的指导意见》等进行管理。</w:t>
                  </w:r>
                </w:p>
              </w:tc>
              <w:tc>
                <w:tcPr>
                  <w:tcW w:w="1937"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项目区域属于</w:t>
                  </w:r>
                  <w:r>
                    <w:rPr>
                      <w:rFonts w:hint="eastAsia" w:ascii="仿宋" w:hAnsi="仿宋" w:eastAsia="仿宋" w:cs="仿宋"/>
                      <w:color w:val="000000" w:themeColor="text1"/>
                      <w:sz w:val="21"/>
                      <w:szCs w:val="21"/>
                      <w:lang w:val="en-US" w:eastAsia="zh-CN"/>
                      <w14:textFill>
                        <w14:solidFill>
                          <w14:schemeClr w14:val="tx1"/>
                        </w14:solidFill>
                      </w14:textFill>
                    </w:rPr>
                    <w:t>属于密祉河上游水系，密祉河自西向东汇入毗雄河，毗雄河自北向南最终汇入礼社江</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。不属于九大高原湖泊的“两线”“三区”控制范围内。</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项目施工过程及运营期中污废水均利用，不外排，对</w:t>
                  </w:r>
                  <w:r>
                    <w:rPr>
                      <w:rFonts w:hint="eastAsia" w:ascii="仿宋" w:hAnsi="仿宋" w:eastAsia="仿宋" w:cs="仿宋"/>
                      <w:color w:val="000000" w:themeColor="text1"/>
                      <w:sz w:val="21"/>
                      <w:szCs w:val="21"/>
                      <w:lang w:val="en-US" w:eastAsia="zh-CN"/>
                      <w14:textFill>
                        <w14:solidFill>
                          <w14:schemeClr w14:val="tx1"/>
                        </w14:solidFill>
                      </w14:textFill>
                    </w:rPr>
                    <w:t>毗雄河</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水质基本无影响。</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14:textFill>
                        <w14:solidFill>
                          <w14:schemeClr w14:val="tx1"/>
                        </w14:solidFill>
                      </w14:textFill>
                    </w:rPr>
                  </w:pP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4.一般生态空间中的永久基本农田按照《中华人民共和国土地管理法》《云南省土地管理条例》等进行管理。</w:t>
                  </w:r>
                </w:p>
              </w:tc>
              <w:tc>
                <w:tcPr>
                  <w:tcW w:w="1937"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根据</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2026</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年</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XX</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月</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XX</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日</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弥渡县</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自然资源局出具的《关于</w:t>
                  </w: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“千乡万村驭风行动”莲峰村项目</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与</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弥渡县</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“三区三线”成果数据的情况说明》</w:t>
                  </w: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（详见附件）</w:t>
                  </w:r>
                  <w: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t>，本项目用地位于城镇开发边界外，未占用生态保护红线及永久基本农田。</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农业面源污染重点管控单元</w:t>
                  </w: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1.围绕环境质量改善目标，</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加强农业农村污染防治，推进农村环境综合整治和农村环保基础设施建设。因地制宜推进农村厕所革命、生活污水治理、生活垃圾治理，基本消除较大面积的农</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村黑臭水体。2.实施化肥农药减量增效行动和农膜回收行动，推进农作物秸秆综合利用和畜禽粪污资源化利用。3.调整农业产业结构，大力发展生态农业。调整优化种植结构，提高环境友好型作物种植规模。4.加快开展重点高原湖泊流域农田径流污染防治，优化农业种植结构，推行生态种植模式，推广使用测土配方</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施肥、生物防治、精细农业等技术，严格控制高耗水、高耗肥作物种植，实现化肥农药减量增效。</w:t>
                  </w:r>
                </w:p>
              </w:tc>
              <w:tc>
                <w:tcPr>
                  <w:tcW w:w="193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项目为风力发电，不涉及畜禽养殖；项目不涉及农田耕作施肥；项目不涉及农药化肥使用。</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一</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般</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管</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控</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单</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元</w:t>
                  </w: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pacing w:val="-1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pacing w:val="-11"/>
                      <w:sz w:val="21"/>
                      <w:szCs w:val="21"/>
                      <w:vertAlign w:val="baseline"/>
                      <w:lang w:val="en-US" w:eastAsia="zh-CN"/>
                      <w14:textFill>
                        <w14:solidFill>
                          <w14:schemeClr w14:val="tx1"/>
                        </w14:solidFill>
                      </w14:textFill>
                    </w:rPr>
                    <w:t>落实生态环境保护基本要求，项目建设和运行应满足产业准入、污染物削减、总量控制、污染物排放标准等管理规定和国家法律法规要求。</w:t>
                  </w:r>
                </w:p>
              </w:tc>
              <w:tc>
                <w:tcPr>
                  <w:tcW w:w="193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000000" w:themeColor="text1"/>
                      <w:kern w:val="0"/>
                      <w:sz w:val="21"/>
                      <w:szCs w:val="21"/>
                      <w:lang w:val="en-US" w:eastAsia="zh-CN" w:bidi="ar"/>
                      <w14:textFill>
                        <w14:solidFill>
                          <w14:schemeClr w14:val="tx1"/>
                        </w14:solidFill>
                      </w14:textFill>
                    </w:rPr>
                  </w:pPr>
                  <w:r>
                    <w:rPr>
                      <w:rFonts w:hint="eastAsia" w:ascii="仿宋" w:hAnsi="仿宋" w:eastAsia="仿宋" w:cs="仿宋"/>
                      <w:color w:val="000000" w:themeColor="text1"/>
                      <w:kern w:val="0"/>
                      <w:sz w:val="21"/>
                      <w:szCs w:val="21"/>
                      <w:lang w:val="en-US" w:eastAsia="zh-CN" w:bidi="ar"/>
                      <w14:textFill>
                        <w14:solidFill>
                          <w14:schemeClr w14:val="tx1"/>
                        </w14:solidFill>
                      </w14:textFill>
                    </w:rPr>
                    <w:t>对照《产业结构调整指导目录（2024年本）》，项目属于允许类；项目属于风力发电项目，不涉及污染物削减及总量控制指标等要求。</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adjustRightInd w:val="0"/>
                    <w:snapToGrid w:val="0"/>
                    <w:spacing w:line="240" w:lineRule="auto"/>
                    <w:jc w:val="center"/>
                    <w:rPr>
                      <w:rFonts w:hint="eastAsia" w:ascii="仿宋" w:hAnsi="仿宋" w:eastAsia="仿宋" w:cs="仿宋"/>
                      <w:b/>
                      <w:bCs/>
                      <w:color w:val="000000" w:themeColor="text1"/>
                      <w:sz w:val="21"/>
                      <w:szCs w:val="21"/>
                      <w:vertAlign w:val="baseline"/>
                      <w:lang w:eastAsia="zh-CN"/>
                      <w14:textFill>
                        <w14:solidFill>
                          <w14:schemeClr w14:val="tx1"/>
                        </w14:solidFill>
                      </w14:textFill>
                    </w:rPr>
                  </w:pPr>
                  <w:r>
                    <w:rPr>
                      <w:rFonts w:hint="eastAsia" w:ascii="仿宋" w:hAnsi="仿宋" w:eastAsia="仿宋" w:cs="仿宋"/>
                      <w:b/>
                      <w:bCs/>
                      <w:color w:val="000000" w:themeColor="text1"/>
                      <w:sz w:val="21"/>
                      <w:szCs w:val="21"/>
                      <w:vertAlign w:val="baseline"/>
                      <w:lang w:eastAsia="zh-CN"/>
                      <w14:textFill>
                        <w14:solidFill>
                          <w14:schemeClr w14:val="tx1"/>
                        </w14:solidFill>
                      </w14:textFill>
                    </w:rPr>
                    <w:t>云南省重点区域流域总体管控要求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滇</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西</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北</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生</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物</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多</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样</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性</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保</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护</w:t>
                  </w:r>
                </w:p>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区</w:t>
                  </w:r>
                </w:p>
              </w:tc>
              <w:tc>
                <w:tcPr>
                  <w:tcW w:w="1965"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总体管控原则：加强生物多</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样性保护，维持区域生态功能不退化，开发建设项目应积极避让具有重要生态服务功能、生态敏感脆弱、生态风险高的区域。1.深入实施滇西北生物多样性保护规划计划，依托各级各类自然保护地及生态文明科教示范基地、生物多样性保护科研基地建设，加强梅里雪山—碧罗雪山寒温性针叶林区、云岭山脉寒温性—暖</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温性针叶林区、滇西北高原湖泊群、高黎贡山北段温凉性针叶林区等生物多样性重点区域整体保护。2.加强野生动植物和水产种质资源保护，禁止对野生动植物</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进行滥捕滥采，建设生物多样性保护廊道、珍稀濒危物种重要栖息地和迁地保护体系，推进珍稀濒危物种保护小区建设，开展高黎贡白眉长臂猿、滇金丝猴、林麝等珍稀濒危特有物种及大树杜鹃、朱红大杜鹃、云南梧桐等极小种群物种拯救、保护、人工繁育和回归。3.加强外来入侵物种监管和防控，严厉打击破坏野生动植物资源违法犯罪行为。加大自然保护区建设和管理力度；加强封山育林，恢复自然植被。4.加强区域污染治理。到2025年，兰坪县重点行业重点重金属污染物排放量比2020年下降8%，新改扩建重点行业建设项目应遵循重点重金属减量替代原则。5.合理开发旅游资源，避免对区域生态功能造成不利影响。6.建立生</w:t>
                  </w:r>
                </w:p>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物多样性保护优先区域生物多样性系统观测网络。</w:t>
                  </w:r>
                </w:p>
              </w:tc>
              <w:tc>
                <w:tcPr>
                  <w:tcW w:w="1937" w:type="pct"/>
                  <w:noWrap w:val="0"/>
                  <w:vAlign w:val="center"/>
                </w:tcPr>
                <w:p>
                  <w:pPr>
                    <w:adjustRightInd w:val="0"/>
                    <w:snapToGrid w:val="0"/>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本项目位于云南省大理白族自治州弥渡县莲峰村。对照《云南省生物多样性保护战略与行动计划（2012-2030年）》《大理州生物多样性保护实施方案（2021-2030年）》，项目不涉及生物多样性保护优先区域。根据项目生态环境影响分析结果，项目区域未发现珍稀濒危物种。本项目施工期及运营期对生态环境存在一定影响，在施工结束后严格落实生态复垦工作，其对生态环境的影响程度可控制在可接受范围内。</w:t>
                  </w:r>
                </w:p>
              </w:tc>
              <w:tc>
                <w:tcPr>
                  <w:tcW w:w="562" w:type="pct"/>
                  <w:noWrap w:val="0"/>
                  <w:vAlign w:val="center"/>
                </w:tcPr>
                <w:p>
                  <w:pPr>
                    <w:adjustRightInd w:val="0"/>
                    <w:snapToGrid w:val="0"/>
                    <w:spacing w:line="240" w:lineRule="auto"/>
                    <w:jc w:val="cente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eastAsia="zh-CN"/>
                      <w14:textFill>
                        <w14:solidFill>
                          <w14:schemeClr w14:val="tx1"/>
                        </w14:solidFill>
                      </w14:textFill>
                    </w:rPr>
                    <w:t>符合</w:t>
                  </w:r>
                </w:p>
              </w:tc>
            </w:tr>
          </w:tbl>
          <w:p>
            <w:pPr>
              <w:adjustRightInd w:val="0"/>
              <w:snapToGrid w:val="0"/>
              <w:spacing w:line="360" w:lineRule="auto"/>
              <w:ind w:firstLine="482" w:firstLineChars="200"/>
              <w:rPr>
                <w:rFonts w:eastAsia="仿宋"/>
                <w:b/>
                <w:bCs/>
                <w:color w:val="000000" w:themeColor="text1"/>
                <w:sz w:val="24"/>
                <w14:textFill>
                  <w14:solidFill>
                    <w14:schemeClr w14:val="tx1"/>
                  </w14:solidFill>
                </w14:textFill>
              </w:rPr>
            </w:pPr>
            <w:r>
              <w:rPr>
                <w:rFonts w:hint="eastAsia" w:eastAsia="仿宋"/>
                <w:b/>
                <w:bCs/>
                <w:color w:val="000000" w:themeColor="text1"/>
                <w:sz w:val="24"/>
                <w:lang w:eastAsia="zh-CN"/>
                <w14:textFill>
                  <w14:solidFill>
                    <w14:schemeClr w14:val="tx1"/>
                  </w14:solidFill>
                </w14:textFill>
              </w:rPr>
              <w:t>二</w:t>
            </w:r>
            <w:r>
              <w:rPr>
                <w:rFonts w:eastAsia="仿宋"/>
                <w:b/>
                <w:bCs/>
                <w:color w:val="000000" w:themeColor="text1"/>
                <w:sz w:val="24"/>
                <w14:textFill>
                  <w14:solidFill>
                    <w14:schemeClr w14:val="tx1"/>
                  </w14:solidFill>
                </w14:textFill>
              </w:rPr>
              <w:t>、项目与</w:t>
            </w:r>
            <w:r>
              <w:rPr>
                <w:rFonts w:hint="eastAsia" w:eastAsia="仿宋"/>
                <w:b/>
                <w:bCs/>
                <w:color w:val="000000" w:themeColor="text1"/>
                <w:sz w:val="24"/>
                <w14:textFill>
                  <w14:solidFill>
                    <w14:schemeClr w14:val="tx1"/>
                  </w14:solidFill>
                </w14:textFill>
              </w:rPr>
              <w:t>《大理州生态环境分区管控动态更新调整方案（2023年）》</w:t>
            </w:r>
            <w:r>
              <w:rPr>
                <w:rFonts w:eastAsia="仿宋"/>
                <w:b/>
                <w:bCs/>
                <w:color w:val="000000" w:themeColor="text1"/>
                <w:sz w:val="24"/>
                <w14:textFill>
                  <w14:solidFill>
                    <w14:schemeClr w14:val="tx1"/>
                  </w14:solidFill>
                </w14:textFill>
              </w:rPr>
              <w:t>符合性分析</w:t>
            </w:r>
          </w:p>
          <w:p>
            <w:pPr>
              <w:adjustRightInd w:val="0"/>
              <w:snapToGrid w:val="0"/>
              <w:spacing w:line="360" w:lineRule="auto"/>
              <w:ind w:firstLine="480" w:firstLineChars="200"/>
              <w:rPr>
                <w:rFonts w:hint="eastAsia" w:ascii="Times New Roman" w:hAnsi="Times New Roman" w:eastAsia="仿宋" w:cs="Times New Roman"/>
                <w:color w:val="000000" w:themeColor="text1"/>
                <w:sz w:val="24"/>
                <w:lang w:eastAsia="zh-CN"/>
                <w14:textFill>
                  <w14:solidFill>
                    <w14:schemeClr w14:val="tx1"/>
                  </w14:solidFill>
                </w14:textFill>
              </w:rPr>
            </w:pPr>
            <w:r>
              <w:rPr>
                <w:rFonts w:hint="eastAsia" w:ascii="Times New Roman" w:hAnsi="Times New Roman" w:eastAsia="仿宋" w:cs="Times New Roman"/>
                <w:color w:val="000000" w:themeColor="text1"/>
                <w:sz w:val="24"/>
                <w:lang w:eastAsia="zh-CN"/>
                <w14:textFill>
                  <w14:solidFill>
                    <w14:schemeClr w14:val="tx1"/>
                  </w14:solidFill>
                </w14:textFill>
              </w:rPr>
              <w:t>2024年11月4日，大理白族自治州生态环境局印发《大理州生态环境分区管控动态更新调整方案（2023年）》的通知（大环发〔2024〕44号）并予以实施。依据方案，大理州生态环境分区管控单元更新调整后，共划定综合管控单元105个。其中，优先保护单元36个，面积达12782.72平方公里，占全州国土面积的45.16%，涵盖生态保护红线优先保护单元、一般生态空间优先保护单元、饮用水水源地保护区优先保护单元等3类；重点管控单元57个，面积为2449.87平方公里，占全州国土面积的8.66%，包含产业园区重点管控单元、城区生活污染重点管控单元、乡镇生活污染重点管控单元、农业农村面源污染重点管控单元、矿产资源重点管控单元、大气环境布局敏感重点管控单元等6类；一般管控单元12个，面积为13069.06平方公里，占全州国土面积的46.18%，系优先保护单元和重点管控单元以外的区域。</w:t>
            </w:r>
          </w:p>
          <w:p>
            <w:pPr>
              <w:adjustRightInd w:val="0"/>
              <w:snapToGrid w:val="0"/>
              <w:spacing w:line="360" w:lineRule="auto"/>
              <w:ind w:firstLine="480" w:firstLineChars="200"/>
              <w:rPr>
                <w:rFonts w:hint="eastAsia" w:ascii="Times New Roman" w:hAnsi="Times New Roman" w:eastAsia="仿宋" w:cs="Times New Roman"/>
                <w:color w:val="000000" w:themeColor="text1"/>
                <w:sz w:val="24"/>
                <w:lang w:eastAsia="zh-CN"/>
                <w14:textFill>
                  <w14:solidFill>
                    <w14:schemeClr w14:val="tx1"/>
                  </w14:solidFill>
                </w14:textFill>
              </w:rPr>
            </w:pPr>
            <w:r>
              <w:rPr>
                <w:rFonts w:hint="eastAsia" w:ascii="Times New Roman" w:hAnsi="Times New Roman" w:eastAsia="仿宋" w:cs="Times New Roman"/>
                <w:color w:val="000000" w:themeColor="text1"/>
                <w:sz w:val="24"/>
                <w:lang w:eastAsia="zh-CN"/>
                <w14:textFill>
                  <w14:solidFill>
                    <w14:schemeClr w14:val="tx1"/>
                  </w14:solidFill>
                </w14:textFill>
              </w:rPr>
              <w:t>本项目地处弥渡县密祉镇莲峰村，经云南省生态环境分区管控公共服务查询平台（</w:t>
            </w:r>
            <w:r>
              <w:rPr>
                <w:rFonts w:hint="eastAsia" w:ascii="Times New Roman" w:hAnsi="Times New Roman" w:eastAsia="仿宋" w:cs="Times New Roman"/>
                <w:color w:val="000000" w:themeColor="text1"/>
                <w:sz w:val="24"/>
                <w:lang w:eastAsia="zh-CN"/>
                <w14:textFill>
                  <w14:solidFill>
                    <w14:schemeClr w14:val="tx1"/>
                  </w14:solidFill>
                </w14:textFill>
              </w:rPr>
              <w:fldChar w:fldCharType="begin"/>
            </w:r>
            <w:r>
              <w:rPr>
                <w:rFonts w:hint="eastAsia" w:ascii="Times New Roman" w:hAnsi="Times New Roman" w:eastAsia="仿宋" w:cs="Times New Roman"/>
                <w:color w:val="000000" w:themeColor="text1"/>
                <w:sz w:val="24"/>
                <w:lang w:eastAsia="zh-CN"/>
                <w14:textFill>
                  <w14:solidFill>
                    <w14:schemeClr w14:val="tx1"/>
                  </w14:solidFill>
                </w14:textFill>
              </w:rPr>
              <w:instrText xml:space="preserve"> HYPERLINK "http://183.224.17.39:19272/sxydyn" </w:instrText>
            </w:r>
            <w:r>
              <w:rPr>
                <w:rFonts w:hint="eastAsia" w:ascii="Times New Roman" w:hAnsi="Times New Roman" w:eastAsia="仿宋" w:cs="Times New Roman"/>
                <w:color w:val="000000" w:themeColor="text1"/>
                <w:sz w:val="24"/>
                <w:lang w:eastAsia="zh-CN"/>
                <w14:textFill>
                  <w14:solidFill>
                    <w14:schemeClr w14:val="tx1"/>
                  </w14:solidFill>
                </w14:textFill>
              </w:rPr>
              <w:fldChar w:fldCharType="separate"/>
            </w:r>
            <w:r>
              <w:rPr>
                <w:rFonts w:hint="eastAsia" w:ascii="Times New Roman" w:hAnsi="Times New Roman" w:eastAsia="仿宋" w:cs="Times New Roman"/>
                <w:color w:val="000000" w:themeColor="text1"/>
                <w:sz w:val="24"/>
                <w:lang w:eastAsia="zh-CN"/>
                <w14:textFill>
                  <w14:solidFill>
                    <w14:schemeClr w14:val="tx1"/>
                  </w14:solidFill>
                </w14:textFill>
              </w:rPr>
              <w:t>http://183.224.17.39:19272/sxydyn</w:t>
            </w:r>
            <w:r>
              <w:rPr>
                <w:rFonts w:hint="eastAsia" w:ascii="Times New Roman" w:hAnsi="Times New Roman" w:eastAsia="仿宋" w:cs="Times New Roman"/>
                <w:color w:val="000000" w:themeColor="text1"/>
                <w:sz w:val="24"/>
                <w:lang w:eastAsia="zh-CN"/>
                <w14:textFill>
                  <w14:solidFill>
                    <w14:schemeClr w14:val="tx1"/>
                  </w14:solidFill>
                </w14:textFill>
              </w:rPr>
              <w:fldChar w:fldCharType="end"/>
            </w:r>
            <w:r>
              <w:rPr>
                <w:rFonts w:hint="eastAsia" w:ascii="Times New Roman" w:hAnsi="Times New Roman" w:eastAsia="仿宋" w:cs="Times New Roman"/>
                <w:color w:val="000000" w:themeColor="text1"/>
                <w:sz w:val="24"/>
                <w:lang w:eastAsia="zh-CN"/>
                <w14:textFill>
                  <w14:solidFill>
                    <w14:schemeClr w14:val="tx1"/>
                  </w14:solidFill>
                </w14:textFill>
              </w:rPr>
              <w:t>）</w:t>
            </w:r>
            <w:r>
              <w:rPr>
                <w:rFonts w:hint="eastAsia" w:ascii="Times New Roman" w:hAnsi="Times New Roman" w:eastAsia="仿宋" w:cs="Times New Roman"/>
                <w:color w:val="000000" w:themeColor="text1"/>
                <w:sz w:val="24"/>
                <w:lang w:val="en-US" w:eastAsia="zh-CN"/>
                <w14:textFill>
                  <w14:solidFill>
                    <w14:schemeClr w14:val="tx1"/>
                  </w14:solidFill>
                </w14:textFill>
              </w:rPr>
              <w:t>的</w:t>
            </w:r>
            <w:r>
              <w:rPr>
                <w:rFonts w:hint="eastAsia" w:ascii="Times New Roman" w:hAnsi="Times New Roman" w:eastAsia="仿宋" w:cs="Times New Roman"/>
                <w:color w:val="000000" w:themeColor="text1"/>
                <w:sz w:val="24"/>
                <w:lang w:eastAsia="zh-CN"/>
                <w14:textFill>
                  <w14:solidFill>
                    <w14:schemeClr w14:val="tx1"/>
                  </w14:solidFill>
                </w14:textFill>
              </w:rPr>
              <w:t>查询</w:t>
            </w:r>
            <w:r>
              <w:rPr>
                <w:rFonts w:hint="eastAsia" w:ascii="Times New Roman" w:hAnsi="Times New Roman" w:eastAsia="仿宋" w:cs="Times New Roman"/>
                <w:color w:val="000000" w:themeColor="text1"/>
                <w:sz w:val="24"/>
                <w:lang w:val="en-US" w:eastAsia="zh-CN"/>
                <w14:textFill>
                  <w14:solidFill>
                    <w14:schemeClr w14:val="tx1"/>
                  </w14:solidFill>
                </w14:textFill>
              </w:rPr>
              <w:t>结果</w:t>
            </w:r>
            <w:r>
              <w:rPr>
                <w:rFonts w:hint="eastAsia" w:ascii="Times New Roman" w:hAnsi="Times New Roman" w:eastAsia="仿宋" w:cs="Times New Roman"/>
                <w:color w:val="000000" w:themeColor="text1"/>
                <w:sz w:val="24"/>
                <w:lang w:eastAsia="zh-CN"/>
                <w14:textFill>
                  <w14:solidFill>
                    <w14:schemeClr w14:val="tx1"/>
                  </w14:solidFill>
                </w14:textFill>
              </w:rPr>
              <w:t>，项目涉及</w:t>
            </w:r>
            <w:r>
              <w:rPr>
                <w:rFonts w:hint="eastAsia" w:ascii="Times New Roman" w:hAnsi="Times New Roman" w:eastAsia="仿宋" w:cs="Times New Roman"/>
                <w:color w:val="000000" w:themeColor="text1"/>
                <w:sz w:val="24"/>
                <w:lang w:val="en-US" w:eastAsia="zh-CN"/>
                <w14:textFill>
                  <w14:solidFill>
                    <w14:schemeClr w14:val="tx1"/>
                  </w14:solidFill>
                </w14:textFill>
              </w:rPr>
              <w:t>弥渡</w:t>
            </w:r>
            <w:r>
              <w:rPr>
                <w:rFonts w:hint="eastAsia" w:ascii="Times New Roman" w:hAnsi="Times New Roman" w:eastAsia="仿宋" w:cs="Times New Roman"/>
                <w:color w:val="000000" w:themeColor="text1"/>
                <w:sz w:val="24"/>
                <w:lang w:eastAsia="zh-CN"/>
                <w14:textFill>
                  <w14:solidFill>
                    <w14:schemeClr w14:val="tx1"/>
                  </w14:solidFill>
                </w14:textFill>
              </w:rPr>
              <w:t>县农业农村面源污染重点管控单元。环境管控单元编码为ZH5329</w:t>
            </w:r>
            <w:r>
              <w:rPr>
                <w:rFonts w:hint="eastAsia" w:ascii="Times New Roman" w:hAnsi="Times New Roman" w:eastAsia="仿宋" w:cs="Times New Roman"/>
                <w:color w:val="000000" w:themeColor="text1"/>
                <w:sz w:val="24"/>
                <w:lang w:val="en-US" w:eastAsia="zh-CN"/>
                <w14:textFill>
                  <w14:solidFill>
                    <w14:schemeClr w14:val="tx1"/>
                  </w14:solidFill>
                </w14:textFill>
              </w:rPr>
              <w:t>2520004</w:t>
            </w:r>
            <w:r>
              <w:rPr>
                <w:rFonts w:hint="eastAsia" w:ascii="Times New Roman" w:hAnsi="Times New Roman" w:eastAsia="仿宋" w:cs="Times New Roman"/>
                <w:color w:val="000000" w:themeColor="text1"/>
                <w:sz w:val="24"/>
                <w:lang w:eastAsia="zh-CN"/>
                <w14:textFill>
                  <w14:solidFill>
                    <w14:schemeClr w14:val="tx1"/>
                  </w14:solidFill>
                </w14:textFill>
              </w:rPr>
              <w:t>，如图所示：</w:t>
            </w:r>
          </w:p>
          <w:p>
            <w:pPr>
              <w:keepNext w:val="0"/>
              <w:keepLines w:val="0"/>
              <w:pageBreakBefore w:val="0"/>
              <w:widowControl w:val="0"/>
              <w:kinsoku/>
              <w:wordWrap/>
              <w:overflowPunct/>
              <w:topLinePunct w:val="0"/>
              <w:autoSpaceDE/>
              <w:autoSpaceDN/>
              <w:bidi w:val="0"/>
              <w:adjustRightInd w:val="0"/>
              <w:snapToGrid w:val="0"/>
              <w:spacing w:line="360" w:lineRule="auto"/>
              <w:ind w:left="0" w:firstLine="0" w:firstLineChars="0"/>
              <w:textAlignment w:val="auto"/>
              <w:rPr>
                <w:rFonts w:hint="eastAsia" w:eastAsia="仿宋"/>
                <w:color w:val="000000" w:themeColor="text1"/>
                <w:sz w:val="24"/>
                <w:lang w:eastAsia="zh-CN"/>
                <w14:textFill>
                  <w14:solidFill>
                    <w14:schemeClr w14:val="tx1"/>
                  </w14:solidFill>
                </w14:textFill>
              </w:rPr>
            </w:pPr>
            <w:r>
              <w:rPr>
                <w:rFonts w:hint="eastAsia" w:ascii="Times New Roman" w:hAnsi="Times New Roman" w:eastAsia="仿宋" w:cs="Times New Roman"/>
                <w:color w:val="000000" w:themeColor="text1"/>
                <w:sz w:val="24"/>
                <w:lang w:eastAsia="zh-CN"/>
                <w14:textFill>
                  <w14:solidFill>
                    <w14:schemeClr w14:val="tx1"/>
                  </w14:solidFill>
                </w14:textFill>
              </w:rPr>
              <w:drawing>
                <wp:inline distT="0" distB="0" distL="114300" distR="114300">
                  <wp:extent cx="5217160" cy="5917565"/>
                  <wp:effectExtent l="0" t="0" r="2540" b="6985"/>
                  <wp:docPr id="21" name="图片 21" descr="管控单元截图2026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管控单元截图20260325"/>
                          <pic:cNvPicPr>
                            <a:picLocks noChangeAspect="1"/>
                          </pic:cNvPicPr>
                        </pic:nvPicPr>
                        <pic:blipFill>
                          <a:blip r:embed="rId10"/>
                          <a:stretch>
                            <a:fillRect/>
                          </a:stretch>
                        </pic:blipFill>
                        <pic:spPr>
                          <a:xfrm>
                            <a:off x="0" y="0"/>
                            <a:ext cx="5217160" cy="5917565"/>
                          </a:xfrm>
                          <a:prstGeom prst="rect">
                            <a:avLst/>
                          </a:prstGeom>
                        </pic:spPr>
                      </pic:pic>
                    </a:graphicData>
                  </a:graphic>
                </wp:inline>
              </w:drawing>
            </w:r>
          </w:p>
          <w:p>
            <w:pPr>
              <w:adjustRightInd w:val="0"/>
              <w:snapToGrid w:val="0"/>
              <w:spacing w:line="360" w:lineRule="auto"/>
              <w:ind w:firstLine="480" w:firstLineChars="200"/>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lang w:eastAsia="zh-CN"/>
                <w14:textFill>
                  <w14:solidFill>
                    <w14:schemeClr w14:val="tx1"/>
                  </w14:solidFill>
                </w14:textFill>
              </w:rPr>
              <w:t>项目与</w:t>
            </w:r>
            <w:r>
              <w:rPr>
                <w:rFonts w:hint="eastAsia" w:ascii="Times New Roman" w:hAnsi="Times New Roman" w:eastAsia="仿宋" w:cs="Times New Roman"/>
                <w:color w:val="000000" w:themeColor="text1"/>
                <w:sz w:val="24"/>
                <w14:textFill>
                  <w14:solidFill>
                    <w14:schemeClr w14:val="tx1"/>
                  </w14:solidFill>
                </w14:textFill>
              </w:rPr>
              <w:t>其符合性分析</w:t>
            </w:r>
            <w:r>
              <w:rPr>
                <w:rFonts w:hint="eastAsia" w:ascii="Times New Roman" w:hAnsi="Times New Roman" w:eastAsia="仿宋" w:cs="Times New Roman"/>
                <w:color w:val="000000" w:themeColor="text1"/>
                <w:sz w:val="24"/>
                <w:lang w:val="en-US" w:eastAsia="zh-CN"/>
                <w14:textFill>
                  <w14:solidFill>
                    <w14:schemeClr w14:val="tx1"/>
                  </w14:solidFill>
                </w14:textFill>
              </w:rPr>
              <w:t>详见下表</w:t>
            </w:r>
            <w:r>
              <w:rPr>
                <w:rFonts w:hint="eastAsia" w:ascii="Times New Roman" w:hAnsi="Times New Roman" w:eastAsia="仿宋" w:cs="Times New Roman"/>
                <w:color w:val="000000" w:themeColor="text1"/>
                <w:sz w:val="24"/>
                <w14:textFill>
                  <w14:solidFill>
                    <w14:schemeClr w14:val="tx1"/>
                  </w14:solidFill>
                </w14:textFill>
              </w:rPr>
              <w:t>。</w:t>
            </w:r>
          </w:p>
          <w:p>
            <w:pPr>
              <w:adjustRightInd w:val="0"/>
              <w:snapToGrid w:val="0"/>
              <w:ind w:firstLine="422" w:firstLineChars="200"/>
              <w:jc w:val="center"/>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表1-</w:t>
            </w:r>
            <w:r>
              <w:rPr>
                <w:rFonts w:hint="eastAsia" w:ascii="仿宋" w:hAnsi="仿宋" w:eastAsia="仿宋" w:cs="仿宋"/>
                <w:b/>
                <w:bCs/>
                <w:color w:val="000000" w:themeColor="text1"/>
                <w:sz w:val="21"/>
                <w:szCs w:val="21"/>
                <w:lang w:val="en-US" w:eastAsia="zh-CN"/>
                <w14:textFill>
                  <w14:solidFill>
                    <w14:schemeClr w14:val="tx1"/>
                  </w14:solidFill>
                </w14:textFill>
              </w:rPr>
              <w:t>5</w:t>
            </w:r>
            <w:r>
              <w:rPr>
                <w:rFonts w:hint="eastAsia" w:ascii="仿宋" w:hAnsi="仿宋" w:eastAsia="仿宋" w:cs="仿宋"/>
                <w:b/>
                <w:bCs/>
                <w:color w:val="000000" w:themeColor="text1"/>
                <w:sz w:val="21"/>
                <w:szCs w:val="21"/>
                <w14:textFill>
                  <w14:solidFill>
                    <w14:schemeClr w14:val="tx1"/>
                  </w14:solidFill>
                </w14:textFill>
              </w:rPr>
              <w:t>项目与大理州生态环境分区管控符合性分析</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408"/>
              <w:gridCol w:w="542"/>
              <w:gridCol w:w="3399"/>
              <w:gridCol w:w="2173"/>
              <w:gridCol w:w="3"/>
              <w:gridCol w:w="666"/>
              <w:gridCol w:w="8"/>
              <w:gridCol w:w="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39" w:type="pct"/>
                  <w:noWrap w:val="0"/>
                  <w:vAlign w:val="center"/>
                </w:tcPr>
                <w:p>
                  <w:pPr>
                    <w:adjustRightInd w:val="0"/>
                    <w:snapToGrid w:val="0"/>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内容</w:t>
                  </w:r>
                </w:p>
              </w:tc>
              <w:tc>
                <w:tcPr>
                  <w:tcW w:w="2753" w:type="pct"/>
                  <w:gridSpan w:val="3"/>
                  <w:noWrap w:val="0"/>
                  <w:vAlign w:val="center"/>
                </w:tcPr>
                <w:p>
                  <w:pPr>
                    <w:adjustRightInd w:val="0"/>
                    <w:snapToGrid w:val="0"/>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大理州生态环境分区管控动态更新调整方案（2023年）</w:t>
                  </w:r>
                </w:p>
              </w:tc>
              <w:tc>
                <w:tcPr>
                  <w:tcW w:w="1376" w:type="pct"/>
                  <w:noWrap w:val="0"/>
                  <w:vAlign w:val="center"/>
                </w:tcPr>
                <w:p>
                  <w:pPr>
                    <w:adjustRightInd w:val="0"/>
                    <w:snapToGrid w:val="0"/>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项目情况</w:t>
                  </w:r>
                </w:p>
              </w:tc>
              <w:tc>
                <w:tcPr>
                  <w:tcW w:w="428" w:type="pct"/>
                  <w:gridSpan w:val="3"/>
                  <w:noWrap w:val="0"/>
                  <w:vAlign w:val="center"/>
                </w:tcPr>
                <w:p>
                  <w:pPr>
                    <w:adjustRightInd w:val="0"/>
                    <w:snapToGrid w:val="0"/>
                    <w:jc w:val="center"/>
                    <w:rPr>
                      <w:rFonts w:eastAsia="仿宋"/>
                      <w:b/>
                      <w:bCs w:val="0"/>
                      <w:color w:val="000000" w:themeColor="text1"/>
                      <w:szCs w:val="21"/>
                      <w14:textFill>
                        <w14:solidFill>
                          <w14:schemeClr w14:val="tx1"/>
                        </w14:solidFill>
                      </w14:textFill>
                    </w:rPr>
                  </w:pPr>
                  <w:r>
                    <w:rPr>
                      <w:rFonts w:eastAsia="仿宋"/>
                      <w:b/>
                      <w:bCs w:val="0"/>
                      <w:color w:val="000000" w:themeColor="text1"/>
                      <w:szCs w:val="2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restart"/>
                  <w:noWrap w:val="0"/>
                  <w:vAlign w:val="center"/>
                </w:tcPr>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大</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理</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州</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生</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态</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环</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境</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管</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控</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总</w:t>
                  </w:r>
                </w:p>
                <w:p>
                  <w:pPr>
                    <w:adjustRightInd w:val="0"/>
                    <w:snapToGrid w:val="0"/>
                    <w:jc w:val="center"/>
                    <w:rPr>
                      <w:rFonts w:hint="eastAsia"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体</w:t>
                  </w:r>
                </w:p>
                <w:p>
                  <w:pPr>
                    <w:adjustRightInd w:val="0"/>
                    <w:snapToGrid w:val="0"/>
                    <w:jc w:val="center"/>
                    <w:rPr>
                      <w:rFonts w:hint="eastAsia" w:eastAsia="仿宋"/>
                      <w:b/>
                      <w:color w:val="000000" w:themeColor="text1"/>
                      <w:szCs w:val="21"/>
                      <w:lang w:eastAsia="zh-CN"/>
                      <w14:textFill>
                        <w14:solidFill>
                          <w14:schemeClr w14:val="tx1"/>
                        </w14:solidFill>
                      </w14:textFill>
                    </w:rPr>
                  </w:pPr>
                  <w:r>
                    <w:rPr>
                      <w:rFonts w:hint="eastAsia" w:eastAsia="仿宋"/>
                      <w:b/>
                      <w:color w:val="000000" w:themeColor="text1"/>
                      <w:szCs w:val="21"/>
                      <w14:textFill>
                        <w14:solidFill>
                          <w14:schemeClr w14:val="tx1"/>
                        </w14:solidFill>
                      </w14:textFill>
                    </w:rPr>
                    <w:t>要</w:t>
                  </w:r>
                  <w:r>
                    <w:rPr>
                      <w:rFonts w:hint="eastAsia" w:eastAsia="仿宋"/>
                      <w:b/>
                      <w:color w:val="000000" w:themeColor="text1"/>
                      <w:szCs w:val="21"/>
                      <w:lang w:eastAsia="zh-CN"/>
                      <w14:textFill>
                        <w14:solidFill>
                          <w14:schemeClr w14:val="tx1"/>
                        </w14:solidFill>
                      </w14:textFill>
                    </w:rPr>
                    <w:t>求</w:t>
                  </w:r>
                </w:p>
              </w:tc>
              <w:tc>
                <w:tcPr>
                  <w:tcW w:w="259" w:type="pct"/>
                  <w:vMerge w:val="restart"/>
                  <w:noWrap w:val="0"/>
                  <w:vAlign w:val="center"/>
                </w:tcPr>
                <w:p>
                  <w:pPr>
                    <w:adjustRightInd w:val="0"/>
                    <w:snapToGrid w:val="0"/>
                    <w:jc w:val="center"/>
                    <w:rPr>
                      <w:rFonts w:hint="eastAsia"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空间布局约束</w:t>
                  </w: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严格落实国家产业政策、国家产业结构调整指导目录。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ascii="Times New Roman" w:hAnsi="Times New Roman" w:eastAsia="仿宋" w:cs="Times New Roman"/>
                      <w:bCs/>
                      <w:color w:val="000000" w:themeColor="text1"/>
                      <w:szCs w:val="21"/>
                      <w14:textFill>
                        <w14:solidFill>
                          <w14:schemeClr w14:val="tx1"/>
                        </w14:solidFill>
                      </w14:textFill>
                    </w:rPr>
                    <w:t>对照《产业结构调整指导目录（2024年本）》，项目</w:t>
                  </w:r>
                  <w:r>
                    <w:rPr>
                      <w:rFonts w:hint="default" w:ascii="Times New Roman" w:hAnsi="Times New Roman" w:eastAsia="仿宋" w:cs="Times New Roman"/>
                      <w:bCs/>
                      <w:color w:val="000000" w:themeColor="text1"/>
                      <w:szCs w:val="21"/>
                      <w14:textFill>
                        <w14:solidFill>
                          <w14:schemeClr w14:val="tx1"/>
                        </w14:solidFill>
                      </w14:textFill>
                    </w:rPr>
                    <w:t>符合国家及地方产业政策。不属于环境污染大、资源消耗高、技术落后的生产能力。不属于产能严重过剩行业。不会突破地区资源承载能力和生态环境容量。</w:t>
                  </w:r>
                </w:p>
              </w:tc>
              <w:tc>
                <w:tcPr>
                  <w:tcW w:w="422" w:type="pct"/>
                  <w:noWrap w:val="0"/>
                  <w:vAlign w:val="center"/>
                </w:tcPr>
                <w:p>
                  <w:pPr>
                    <w:adjustRightInd w:val="0"/>
                    <w:snapToGrid w:val="0"/>
                    <w:jc w:val="center"/>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禁止在合规园区外新建、扩建钢铁、石化、化工、焦化、建材、有色、制浆造纸等高污染项目（高污染项目严格按照《环境保护综合名录》“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78" w:type="pct"/>
                  <w:gridSpan w:val="2"/>
                  <w:noWrap w:val="0"/>
                  <w:vAlign w:val="center"/>
                </w:tcPr>
                <w:p>
                  <w:pPr>
                    <w:adjustRightInd w:val="0"/>
                    <w:snapToGrid w:val="0"/>
                    <w:rPr>
                      <w:rFonts w:hint="default"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项目属清洁能源开发利用工程，不属于钢铁、石化、化工、焦化、建材、有色、制浆造纸等高污染项目。</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坚决遏制高耗能、高排放、低水平项目盲目发展，项目审批严格落实国家和云南省相关政策要求。加大钢铁、水泥熟料、烧结砖瓦等行业落后产能淘汰和过剩产能压减力度，加快落后低效和过剩产能化解淘汰，严禁新增钢铁、焦炭、水泥、平板玻璃等行业产能，实施粗钢产能清理整顿，依法依规推动小屠宰及肉类加工、小磷肥企业退出，推动重污染企业搬迁入园或依法关闭。</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项目属清洁能源开发利用工程，符合国家及地方产业政策。不属于高耗能、高排放、低水平项目，不属于钢铁、水泥熟料、烧结砖瓦、焦炭、平板玻璃、小屠宰及肉类加工、小磷肥等行业，不属于重污染项目。</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禁止在金沙江干流、九大高原湖泊（洱海）保护区、保留区内投资建设不利于水资源及自然生态保护的项目。禁止在金沙江干流建设除党中央、国务院、国家投资主管部门、省级有关部门批复同意以外的过江基础设施项目；禁止未经许可在金沙江干流、九大高原湖泊（洱海）流域新设、改设或扩大排污口。禁止在金沙江干流禁捕水域开展天然渔业资源生产性捕捞。</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eastAsia" w:ascii="Times New Roman" w:hAnsi="Times New Roman" w:eastAsia="仿宋" w:cs="Times New Roman"/>
                      <w:bCs/>
                      <w:color w:val="000000" w:themeColor="text1"/>
                      <w:szCs w:val="21"/>
                      <w:lang w:val="en-US" w:eastAsia="zh-CN"/>
                      <w14:textFill>
                        <w14:solidFill>
                          <w14:schemeClr w14:val="tx1"/>
                        </w14:solidFill>
                      </w14:textFill>
                    </w:rPr>
                    <w:t>本项目地处弥渡县密祉镇莲峰村，</w:t>
                  </w:r>
                  <w:r>
                    <w:rPr>
                      <w:rFonts w:hint="default" w:ascii="Times New Roman" w:hAnsi="Times New Roman" w:eastAsia="仿宋" w:cs="Times New Roman"/>
                      <w:bCs/>
                      <w:color w:val="000000" w:themeColor="text1"/>
                      <w:szCs w:val="21"/>
                      <w14:textFill>
                        <w14:solidFill>
                          <w14:schemeClr w14:val="tx1"/>
                        </w14:solidFill>
                      </w14:textFill>
                    </w:rPr>
                    <w:t>项目未处于《全国重要江河湖泊水功能区域》、《长江岸线保护和开发利用总体规划》、《云南省水功能区划》、《大理白族自治州水功能区划（2015年修订）》划定的金沙江干流保护区、保留区以及九大高原湖泊（洱海）保护区、保留区内；不新设、改设或扩大排污口；不涉及生产性捕捞。</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禁止在金沙江干流和九大高原湖泊（洱海）岸线一公里范围内新建、扩建化工园区和化工项目。禁止在金沙江干流岸线三公里范围内新建、改建、扩建尾矿库、冶炼渣库和磷石膏库，以提升安全、生态环境保护水平为目的的改建除外。</w:t>
                  </w:r>
                </w:p>
              </w:tc>
              <w:tc>
                <w:tcPr>
                  <w:tcW w:w="1378" w:type="pct"/>
                  <w:gridSpan w:val="2"/>
                  <w:noWrap w:val="0"/>
                  <w:vAlign w:val="center"/>
                </w:tcPr>
                <w:p>
                  <w:pPr>
                    <w:adjustRightInd w:val="0"/>
                    <w:snapToGrid w:val="0"/>
                    <w:jc w:val="both"/>
                    <w:rPr>
                      <w:rFonts w:hint="eastAsia" w:eastAsia="仿宋"/>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w:t>
                  </w:r>
                  <w:r>
                    <w:rPr>
                      <w:rFonts w:hint="eastAsia" w:ascii="Times New Roman" w:hAnsi="Times New Roman" w:eastAsia="仿宋" w:cs="Times New Roman"/>
                      <w:bCs/>
                      <w:color w:val="000000" w:themeColor="text1"/>
                      <w:szCs w:val="21"/>
                      <w:lang w:eastAsia="zh-CN"/>
                      <w14:textFill>
                        <w14:solidFill>
                          <w14:schemeClr w14:val="tx1"/>
                        </w14:solidFill>
                      </w14:textFill>
                    </w:rPr>
                    <w:t>不</w:t>
                  </w:r>
                  <w:r>
                    <w:rPr>
                      <w:rFonts w:hint="default" w:ascii="Times New Roman" w:hAnsi="Times New Roman" w:eastAsia="仿宋" w:cs="Times New Roman"/>
                      <w:bCs/>
                      <w:color w:val="000000" w:themeColor="text1"/>
                      <w:szCs w:val="21"/>
                      <w14:textFill>
                        <w14:solidFill>
                          <w14:schemeClr w14:val="tx1"/>
                        </w14:solidFill>
                      </w14:textFill>
                    </w:rPr>
                    <w:t>处于金沙江干流和九大高原湖泊（洱海）岸线一公里范围内；不属于化工园区、化工项目，不涉及尾矿库、冶炼渣库和磷石膏库建设。</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加强河湖水域岸线空间管控，严格落实澜沧江相关管控要求，合理安排河湖管理保护控制地带，加强对河湖周边房地产、工矿企业、化工园区等“贴线”开发管控。</w:t>
                  </w:r>
                </w:p>
              </w:tc>
              <w:tc>
                <w:tcPr>
                  <w:tcW w:w="1378" w:type="pct"/>
                  <w:gridSpan w:val="2"/>
                  <w:noWrap w:val="0"/>
                  <w:vAlign w:val="center"/>
                </w:tcPr>
                <w:p>
                  <w:pPr>
                    <w:adjustRightInd w:val="0"/>
                    <w:snapToGrid w:val="0"/>
                    <w:jc w:val="both"/>
                    <w:rPr>
                      <w:rFonts w:hint="eastAsia"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项目未涉及已划定的河湖水域岸线管理范围，与周边河流、湖库等地表水体均相距较远。</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全面加强洱海流域空间管控，严控洱海流域建设活动。在洱海流域范围内禁止布局高污染、高排放的矿冶建材、重化工等产业，加快流域内砖瓦（新型建材除外）等建材产业的搬迁及非煤矿山生态修复，流域内不再布局水泥、砖瓦（新型建材除外）等生产企业，全面关停洱海流域除地热、矿泉水之外的所有矿山。</w:t>
                  </w:r>
                </w:p>
              </w:tc>
              <w:tc>
                <w:tcPr>
                  <w:tcW w:w="1378" w:type="pct"/>
                  <w:gridSpan w:val="2"/>
                  <w:noWrap w:val="0"/>
                  <w:vAlign w:val="center"/>
                </w:tcPr>
                <w:p>
                  <w:pPr>
                    <w:adjustRightInd w:val="0"/>
                    <w:snapToGrid w:val="0"/>
                    <w:jc w:val="both"/>
                    <w:rPr>
                      <w:rFonts w:hint="eastAsia"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w:t>
                  </w:r>
                  <w:r>
                    <w:rPr>
                      <w:rFonts w:hint="eastAsia" w:ascii="Times New Roman" w:hAnsi="Times New Roman" w:eastAsia="仿宋" w:cs="Times New Roman"/>
                      <w:bCs/>
                      <w:color w:val="000000" w:themeColor="text1"/>
                      <w:szCs w:val="21"/>
                      <w:lang w:val="en-US" w:eastAsia="zh-CN"/>
                      <w14:textFill>
                        <w14:solidFill>
                          <w14:schemeClr w14:val="tx1"/>
                        </w14:solidFill>
                      </w14:textFill>
                    </w:rPr>
                    <w:t>所在区域</w:t>
                  </w:r>
                  <w:r>
                    <w:rPr>
                      <w:rFonts w:hint="default" w:ascii="Times New Roman" w:hAnsi="Times New Roman" w:eastAsia="仿宋" w:cs="Times New Roman"/>
                      <w:bCs/>
                      <w:color w:val="000000" w:themeColor="text1"/>
                      <w:szCs w:val="21"/>
                      <w:lang w:val="en-US" w:eastAsia="zh-CN"/>
                      <w14:textFill>
                        <w14:solidFill>
                          <w14:schemeClr w14:val="tx1"/>
                        </w14:solidFill>
                      </w14:textFill>
                    </w:rPr>
                    <w:t>不涉及</w:t>
                  </w:r>
                  <w:r>
                    <w:rPr>
                      <w:rFonts w:hint="default" w:ascii="Times New Roman" w:hAnsi="Times New Roman" w:eastAsia="仿宋" w:cs="Times New Roman"/>
                      <w:bCs/>
                      <w:color w:val="000000" w:themeColor="text1"/>
                      <w:szCs w:val="21"/>
                      <w14:textFill>
                        <w14:solidFill>
                          <w14:schemeClr w14:val="tx1"/>
                        </w14:solidFill>
                      </w14:textFill>
                    </w:rPr>
                    <w:t>洱海流域</w:t>
                  </w:r>
                  <w:r>
                    <w:rPr>
                      <w:rFonts w:hint="default" w:ascii="Times New Roman" w:hAnsi="Times New Roman" w:eastAsia="仿宋" w:cs="Times New Roman"/>
                      <w:bCs/>
                      <w:color w:val="000000" w:themeColor="text1"/>
                      <w:szCs w:val="21"/>
                      <w:lang w:eastAsia="zh-CN"/>
                      <w14:textFill>
                        <w14:solidFill>
                          <w14:schemeClr w14:val="tx1"/>
                        </w14:solidFill>
                      </w14:textFill>
                    </w:rPr>
                    <w:t>，</w:t>
                  </w:r>
                  <w:r>
                    <w:rPr>
                      <w:rFonts w:hint="default" w:ascii="Times New Roman" w:hAnsi="Times New Roman" w:eastAsia="仿宋" w:cs="Times New Roman"/>
                      <w:bCs/>
                      <w:color w:val="000000" w:themeColor="text1"/>
                      <w:szCs w:val="21"/>
                      <w:lang w:val="en-US" w:eastAsia="zh-CN"/>
                      <w14:textFill>
                        <w14:solidFill>
                          <w14:schemeClr w14:val="tx1"/>
                        </w14:solidFill>
                      </w14:textFill>
                    </w:rPr>
                    <w:t>项目也</w:t>
                  </w:r>
                  <w:r>
                    <w:rPr>
                      <w:rFonts w:hint="default" w:ascii="Times New Roman" w:hAnsi="Times New Roman" w:eastAsia="仿宋" w:cs="Times New Roman"/>
                      <w:bCs/>
                      <w:color w:val="000000" w:themeColor="text1"/>
                      <w:szCs w:val="21"/>
                      <w14:textFill>
                        <w14:solidFill>
                          <w14:schemeClr w14:val="tx1"/>
                        </w14:solidFill>
                      </w14:textFill>
                    </w:rPr>
                    <w:t>不属于高污染、高排放的矿冶建材、重化工等产业，不涉及矿山开采。</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新建旅游景区禁止破坏生态环境，限制在生态脆弱地区布局。根据景区承载能力进行功能分区管理，确定游客容量上限。</w:t>
                  </w:r>
                </w:p>
              </w:tc>
              <w:tc>
                <w:tcPr>
                  <w:tcW w:w="1378" w:type="pct"/>
                  <w:gridSpan w:val="2"/>
                  <w:noWrap w:val="0"/>
                  <w:vAlign w:val="center"/>
                </w:tcPr>
                <w:p>
                  <w:pPr>
                    <w:adjustRightInd w:val="0"/>
                    <w:snapToGrid w:val="0"/>
                    <w:jc w:val="center"/>
                    <w:rPr>
                      <w:rFonts w:hint="eastAsia" w:eastAsia="仿宋"/>
                      <w:bCs/>
                      <w:color w:val="000000" w:themeColor="text1"/>
                      <w:szCs w:val="21"/>
                      <w:lang w:val="en-US" w:eastAsia="zh-CN"/>
                      <w14:textFill>
                        <w14:solidFill>
                          <w14:schemeClr w14:val="tx1"/>
                        </w14:solidFill>
                      </w14:textFill>
                    </w:rPr>
                  </w:pPr>
                  <w:r>
                    <w:rPr>
                      <w:rFonts w:hint="eastAsia" w:eastAsia="仿宋"/>
                      <w:bCs/>
                      <w:color w:val="000000" w:themeColor="text1"/>
                      <w:szCs w:val="21"/>
                      <w:lang w:val="en-US" w:eastAsia="zh-CN"/>
                      <w14:textFill>
                        <w14:solidFill>
                          <w14:schemeClr w14:val="tx1"/>
                        </w14:solidFill>
                      </w14:textFill>
                    </w:rPr>
                    <w:t>本项目不属于新建</w:t>
                  </w:r>
                </w:p>
                <w:p>
                  <w:pPr>
                    <w:adjustRightInd w:val="0"/>
                    <w:snapToGrid w:val="0"/>
                    <w:jc w:val="center"/>
                    <w:rPr>
                      <w:rFonts w:hint="default" w:eastAsia="仿宋"/>
                      <w:bCs/>
                      <w:color w:val="000000" w:themeColor="text1"/>
                      <w:szCs w:val="21"/>
                      <w:lang w:val="en-US" w:eastAsia="zh-CN"/>
                      <w14:textFill>
                        <w14:solidFill>
                          <w14:schemeClr w14:val="tx1"/>
                        </w14:solidFill>
                      </w14:textFill>
                    </w:rPr>
                  </w:pPr>
                  <w:r>
                    <w:rPr>
                      <w:rFonts w:hint="eastAsia" w:eastAsia="仿宋"/>
                      <w:bCs/>
                      <w:color w:val="000000" w:themeColor="text1"/>
                      <w:szCs w:val="21"/>
                      <w:lang w:val="en-US" w:eastAsia="zh-CN"/>
                      <w14:textFill>
                        <w14:solidFill>
                          <w14:schemeClr w14:val="tx1"/>
                        </w14:solidFill>
                      </w14:textFill>
                    </w:rPr>
                    <w:t>旅游景区</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5" w:type="pct"/>
              </w:trPr>
              <w:tc>
                <w:tcPr>
                  <w:tcW w:w="43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jc w:val="center"/>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落实云南省碳达峰碳中和相关要求，处理好发展和减排、整体和局部、长远目标和短期目标、政府和市场的关系，坚定不移走生态优先、绿色低碳的高质量发展道路。</w:t>
                  </w:r>
                </w:p>
              </w:tc>
              <w:tc>
                <w:tcPr>
                  <w:tcW w:w="1378" w:type="pct"/>
                  <w:gridSpan w:val="2"/>
                  <w:noWrap w:val="0"/>
                  <w:vAlign w:val="center"/>
                </w:tcPr>
                <w:p>
                  <w:pPr>
                    <w:adjustRightInd w:val="0"/>
                    <w:snapToGrid w:val="0"/>
                    <w:jc w:val="both"/>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lang w:val="en-US" w:eastAsia="zh-CN"/>
                      <w14:textFill>
                        <w14:solidFill>
                          <w14:schemeClr w14:val="tx1"/>
                        </w14:solidFill>
                      </w14:textFill>
                    </w:rPr>
                    <w:t>项目属于清洁能源开发利用工程，建成后有利于优化地区能源结构，助力区域实现碳达峰碳中和目标。</w:t>
                  </w:r>
                </w:p>
              </w:tc>
              <w:tc>
                <w:tcPr>
                  <w:tcW w:w="422" w:type="pct"/>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restart"/>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restart"/>
                  <w:noWrap w:val="0"/>
                  <w:vAlign w:val="center"/>
                </w:tcPr>
                <w:p>
                  <w:pPr>
                    <w:adjustRightInd w:val="0"/>
                    <w:snapToGrid w:val="0"/>
                    <w:rPr>
                      <w:rFonts w:hint="eastAsia" w:eastAsia="仿宋"/>
                      <w:b/>
                      <w:color w:val="000000" w:themeColor="text1"/>
                      <w:kern w:val="2"/>
                      <w:sz w:val="21"/>
                      <w:szCs w:val="21"/>
                      <w:lang w:val="en-US" w:eastAsia="zh-CN" w:bidi="ar-SA"/>
                      <w14:textFill>
                        <w14:solidFill>
                          <w14:schemeClr w14:val="tx1"/>
                        </w14:solidFill>
                      </w14:textFill>
                    </w:rPr>
                  </w:pPr>
                  <w:r>
                    <w:rPr>
                      <w:rFonts w:hint="eastAsia" w:eastAsia="仿宋"/>
                      <w:color w:val="000000" w:themeColor="text1"/>
                      <w:szCs w:val="21"/>
                      <w14:textFill>
                        <w14:solidFill>
                          <w14:schemeClr w14:val="tx1"/>
                        </w14:solidFill>
                      </w14:textFill>
                    </w:rPr>
                    <w:t>污染物排放管控</w:t>
                  </w:r>
                </w:p>
              </w:tc>
              <w:tc>
                <w:tcPr>
                  <w:tcW w:w="2494" w:type="pct"/>
                  <w:gridSpan w:val="2"/>
                  <w:noWrap w:val="0"/>
                  <w:vAlign w:val="center"/>
                </w:tcPr>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1.开展城镇截污治污、农业面源污染治理、入河排污口整治等。全力推动西洱河四级坝断面脱劣治理。以北三江（弥苴河、永安江、罗时江）片区和南部两河（波罗江、白塔河）、漾弓江为重点，完善城镇污水收集处理设施，积极防治农业农村面源污染，完善水环境监管体系；推进剑湖、礼社江-龙树桥等水质波动断面的水环境综合整治，稳固水体达标成效。</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项目施工废水、施工人员洗手废水</w:t>
                  </w:r>
                  <w:r>
                    <w:rPr>
                      <w:rFonts w:hint="default" w:ascii="Times New Roman" w:hAnsi="Times New Roman" w:eastAsia="仿宋" w:cs="Times New Roman"/>
                      <w:bCs/>
                      <w:color w:val="000000" w:themeColor="text1"/>
                      <w:szCs w:val="21"/>
                      <w:lang w:val="en-US" w:eastAsia="zh-CN"/>
                      <w14:textFill>
                        <w14:solidFill>
                          <w14:schemeClr w14:val="tx1"/>
                        </w14:solidFill>
                      </w14:textFill>
                    </w:rPr>
                    <w:t>经</w:t>
                  </w:r>
                  <w:r>
                    <w:rPr>
                      <w:rFonts w:hint="default" w:ascii="Times New Roman" w:hAnsi="Times New Roman" w:eastAsia="仿宋" w:cs="Times New Roman"/>
                      <w:bCs/>
                      <w:color w:val="000000" w:themeColor="text1"/>
                      <w:szCs w:val="21"/>
                      <w14:textFill>
                        <w14:solidFill>
                          <w14:schemeClr w14:val="tx1"/>
                        </w14:solidFill>
                      </w14:textFill>
                    </w:rPr>
                    <w:t>沉淀池收集处理后全部回用于施工生产及洒水降尘。</w:t>
                  </w:r>
                  <w:r>
                    <w:rPr>
                      <w:rFonts w:hint="default" w:ascii="Times New Roman" w:hAnsi="Times New Roman" w:eastAsia="仿宋" w:cs="Times New Roman"/>
                      <w:bCs/>
                      <w:color w:val="000000" w:themeColor="text1"/>
                      <w:szCs w:val="21"/>
                      <w:lang w:val="en-US" w:eastAsia="zh-CN"/>
                      <w14:textFill>
                        <w14:solidFill>
                          <w14:schemeClr w14:val="tx1"/>
                        </w14:solidFill>
                      </w14:textFill>
                    </w:rPr>
                    <w:t>项目属于风力发电项目，</w:t>
                  </w:r>
                  <w:r>
                    <w:rPr>
                      <w:rFonts w:hint="default" w:ascii="Times New Roman" w:hAnsi="Times New Roman" w:eastAsia="仿宋" w:cs="Times New Roman"/>
                      <w:bCs/>
                      <w:color w:val="000000" w:themeColor="text1"/>
                      <w:szCs w:val="21"/>
                      <w14:textFill>
                        <w14:solidFill>
                          <w14:schemeClr w14:val="tx1"/>
                        </w14:solidFill>
                      </w14:textFill>
                    </w:rPr>
                    <w:t>运行期</w:t>
                  </w:r>
                  <w:r>
                    <w:rPr>
                      <w:rFonts w:hint="default" w:ascii="Times New Roman" w:hAnsi="Times New Roman" w:eastAsia="仿宋" w:cs="Times New Roman"/>
                      <w:bCs/>
                      <w:color w:val="000000" w:themeColor="text1"/>
                      <w:szCs w:val="21"/>
                      <w:lang w:val="en-US" w:eastAsia="zh-CN"/>
                      <w14:textFill>
                        <w14:solidFill>
                          <w14:schemeClr w14:val="tx1"/>
                        </w14:solidFill>
                      </w14:textFill>
                    </w:rPr>
                    <w:t>不排放废气、废水</w:t>
                  </w:r>
                  <w:r>
                    <w:rPr>
                      <w:rFonts w:hint="default" w:ascii="Times New Roman" w:hAnsi="Times New Roman" w:eastAsia="仿宋" w:cs="Times New Roman"/>
                      <w:bCs/>
                      <w:color w:val="000000" w:themeColor="text1"/>
                      <w:szCs w:val="21"/>
                      <w14:textFill>
                        <w14:solidFill>
                          <w14:schemeClr w14:val="tx1"/>
                        </w14:solidFill>
                      </w14:textFill>
                    </w:rPr>
                    <w:t>。</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2.严格保护城乡集中式饮用水水源地，整治饮用水源保护区内的污染源，确保饮用水安全。到2025年，县级以上集中式饮用水水源水质达到或优于Ⅲ类比例达到100%。</w:t>
                  </w:r>
                </w:p>
              </w:tc>
              <w:tc>
                <w:tcPr>
                  <w:tcW w:w="1378" w:type="pct"/>
                  <w:gridSpan w:val="2"/>
                  <w:noWrap w:val="0"/>
                  <w:vAlign w:val="center"/>
                </w:tcPr>
                <w:p>
                  <w:pPr>
                    <w:adjustRightInd w:val="0"/>
                    <w:snapToGrid w:val="0"/>
                    <w:rPr>
                      <w:rFonts w:hint="default"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lang w:val="en-US" w:eastAsia="zh-CN"/>
                      <w14:textFill>
                        <w14:solidFill>
                          <w14:schemeClr w14:val="tx1"/>
                        </w14:solidFill>
                      </w14:textFill>
                    </w:rPr>
                    <w:t>根据《大理白族自治州生态环境局</w:t>
                  </w:r>
                  <w:r>
                    <w:rPr>
                      <w:rFonts w:hint="eastAsia" w:ascii="Times New Roman" w:hAnsi="Times New Roman" w:eastAsia="仿宋" w:cs="Times New Roman"/>
                      <w:bCs/>
                      <w:color w:val="000000" w:themeColor="text1"/>
                      <w:szCs w:val="21"/>
                      <w:lang w:val="en-US" w:eastAsia="zh-CN"/>
                      <w14:textFill>
                        <w14:solidFill>
                          <w14:schemeClr w14:val="tx1"/>
                        </w14:solidFill>
                      </w14:textFill>
                    </w:rPr>
                    <w:t>弥渡</w:t>
                  </w:r>
                  <w:r>
                    <w:rPr>
                      <w:rFonts w:hint="default" w:ascii="Times New Roman" w:hAnsi="Times New Roman" w:eastAsia="仿宋" w:cs="Times New Roman"/>
                      <w:bCs/>
                      <w:color w:val="000000" w:themeColor="text1"/>
                      <w:szCs w:val="21"/>
                      <w:lang w:val="en-US" w:eastAsia="zh-CN"/>
                      <w14:textFill>
                        <w14:solidFill>
                          <w14:schemeClr w14:val="tx1"/>
                        </w14:solidFill>
                      </w14:textFill>
                    </w:rPr>
                    <w:t>分局关于</w:t>
                  </w:r>
                  <w:r>
                    <w:rPr>
                      <w:rFonts w:hint="eastAsia" w:ascii="Times New Roman" w:hAnsi="Times New Roman" w:eastAsia="仿宋" w:cs="Times New Roman"/>
                      <w:bCs/>
                      <w:color w:val="000000" w:themeColor="text1"/>
                      <w:szCs w:val="21"/>
                      <w:lang w:val="en-US" w:eastAsia="zh-CN"/>
                      <w14:textFill>
                        <w14:solidFill>
                          <w14:schemeClr w14:val="tx1"/>
                        </w14:solidFill>
                      </w14:textFill>
                    </w:rPr>
                    <w:t>本项目</w:t>
                  </w:r>
                  <w:r>
                    <w:rPr>
                      <w:rFonts w:hint="default" w:ascii="Times New Roman" w:hAnsi="Times New Roman" w:eastAsia="仿宋" w:cs="Times New Roman"/>
                      <w:bCs/>
                      <w:color w:val="000000" w:themeColor="text1"/>
                      <w:szCs w:val="21"/>
                      <w:lang w:val="en-US" w:eastAsia="zh-CN"/>
                      <w14:textFill>
                        <w14:solidFill>
                          <w14:schemeClr w14:val="tx1"/>
                        </w14:solidFill>
                      </w14:textFill>
                    </w:rPr>
                    <w:t>的选址建设意见》，项目不涉及饮用水水源保护区。项目建设不会对周边饮用水水源水质造成影响</w:t>
                  </w:r>
                  <w:r>
                    <w:rPr>
                      <w:rFonts w:hint="default" w:ascii="Times New Roman" w:hAnsi="Times New Roman" w:eastAsia="仿宋" w:cs="Times New Roman"/>
                      <w:bCs/>
                      <w:color w:val="000000" w:themeColor="text1"/>
                      <w:szCs w:val="21"/>
                      <w14:textFill>
                        <w14:solidFill>
                          <w14:schemeClr w14:val="tx1"/>
                        </w14:solidFill>
                      </w14:textFill>
                    </w:rPr>
                    <w:t>。</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推动PM</w:t>
                  </w:r>
                  <w:r>
                    <w:rPr>
                      <w:rFonts w:eastAsia="仿宋"/>
                      <w:bCs/>
                      <w:color w:val="000000" w:themeColor="text1"/>
                      <w:szCs w:val="21"/>
                      <w:vertAlign w:val="subscript"/>
                      <w14:textFill>
                        <w14:solidFill>
                          <w14:schemeClr w14:val="tx1"/>
                        </w14:solidFill>
                      </w14:textFill>
                    </w:rPr>
                    <w:t>2.5</w:t>
                  </w:r>
                  <w:r>
                    <w:rPr>
                      <w:rFonts w:eastAsia="仿宋"/>
                      <w:bCs/>
                      <w:color w:val="000000" w:themeColor="text1"/>
                      <w:szCs w:val="21"/>
                      <w14:textFill>
                        <w14:solidFill>
                          <w14:schemeClr w14:val="tx1"/>
                        </w14:solidFill>
                      </w14:textFill>
                    </w:rPr>
                    <w:t>和臭氧协同控制，加大氮氧化物、挥发性有机物（VOCs）和温室气体协同减排力度。推进钢铁、有色、化工、建材等行业节能低碳改造。以石化、化工、工业涂装、包装印刷、油品储运销、汽车维修（维护）等领域为重点，安全高效推进挥发性有机物综合治理，实施原辅材料和产品源头替代。明确重点行业二氧化碳排放达峰目标，开展重大项目二氧化碳排放评价，控制工业、交通、建筑等行业温室气体排放。</w:t>
                  </w:r>
                </w:p>
              </w:tc>
              <w:tc>
                <w:tcPr>
                  <w:tcW w:w="1378" w:type="pct"/>
                  <w:gridSpan w:val="2"/>
                  <w:noWrap w:val="0"/>
                  <w:vAlign w:val="center"/>
                </w:tcPr>
                <w:p>
                  <w:pPr>
                    <w:adjustRightInd w:val="0"/>
                    <w:snapToGrid w:val="0"/>
                    <w:rPr>
                      <w:rFonts w:hint="default"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lang w:val="en-US" w:eastAsia="zh-CN"/>
                      <w14:textFill>
                        <w14:solidFill>
                          <w14:schemeClr w14:val="tx1"/>
                        </w14:solidFill>
                      </w14:textFill>
                    </w:rPr>
                    <w:t>项目不产生PM2.5、NOx等污染物排放。项目大气污染主要来自施工期扬尘、燃油机械废气以及运行期的</w:t>
                  </w:r>
                  <w:r>
                    <w:rPr>
                      <w:rFonts w:hint="eastAsia" w:ascii="Times New Roman" w:hAnsi="Times New Roman" w:eastAsia="仿宋" w:cs="Times New Roman"/>
                      <w:bCs/>
                      <w:color w:val="000000" w:themeColor="text1"/>
                      <w:szCs w:val="21"/>
                      <w:lang w:val="en-US" w:eastAsia="zh-CN"/>
                      <w14:textFill>
                        <w14:solidFill>
                          <w14:schemeClr w14:val="tx1"/>
                        </w14:solidFill>
                      </w14:textFill>
                    </w:rPr>
                    <w:t>开关站</w:t>
                  </w:r>
                  <w:r>
                    <w:rPr>
                      <w:rFonts w:hint="default" w:ascii="Times New Roman" w:hAnsi="Times New Roman" w:eastAsia="仿宋" w:cs="Times New Roman"/>
                      <w:bCs/>
                      <w:color w:val="000000" w:themeColor="text1"/>
                      <w:szCs w:val="21"/>
                      <w:lang w:val="en-US" w:eastAsia="zh-CN"/>
                      <w14:textFill>
                        <w14:solidFill>
                          <w14:schemeClr w14:val="tx1"/>
                        </w14:solidFill>
                      </w14:textFill>
                    </w:rPr>
                    <w:t>食堂油烟，对环境空气质量的影响小。本项目属于清洁能源开发利用工程，运行期间无温室气体排放，并有利于优化地区能源结构，助力达成碳达峰碳中和目标。</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以祥云、鹤庆、云龙、剑川等为重金属污染重点治理区，以大理市经济技术开发区、鹤庆兴鹤产业园区、</w:t>
                  </w:r>
                  <w:r>
                    <w:rPr>
                      <w:rFonts w:hint="eastAsia" w:eastAsia="仿宋"/>
                      <w:bCs/>
                      <w:color w:val="000000" w:themeColor="text1"/>
                      <w:szCs w:val="21"/>
                      <w:lang w:eastAsia="zh-CN"/>
                      <w14:textFill>
                        <w14:solidFill>
                          <w14:schemeClr w14:val="tx1"/>
                        </w14:solidFill>
                      </w14:textFill>
                    </w:rPr>
                    <w:t>云南祥云经济技术开发区</w:t>
                  </w:r>
                  <w:r>
                    <w:rPr>
                      <w:rFonts w:eastAsia="仿宋"/>
                      <w:bCs/>
                      <w:color w:val="000000" w:themeColor="text1"/>
                      <w:szCs w:val="21"/>
                      <w14:textFill>
                        <w14:solidFill>
                          <w14:schemeClr w14:val="tx1"/>
                        </w14:solidFill>
                      </w14:textFill>
                    </w:rPr>
                    <w:t>等为土壤污染重点企业集聚区，建立完善全州土壤环境重点监管企业名单，并纳入重点污染源进行监管，实行名单动态更新。建立土壤污染隐患排查制度，保证持续有效防止有毒有害物质渗漏、流失、扬散，防范土壤污染。受污染耕地安全利用率完成省级下达目标，重点建设用地安全利用率有效保障。</w:t>
                  </w:r>
                </w:p>
              </w:tc>
              <w:tc>
                <w:tcPr>
                  <w:tcW w:w="1378" w:type="pct"/>
                  <w:gridSpan w:val="2"/>
                  <w:noWrap w:val="0"/>
                  <w:vAlign w:val="center"/>
                </w:tcPr>
                <w:p>
                  <w:pPr>
                    <w:adjustRightInd w:val="0"/>
                    <w:snapToGrid w:val="0"/>
                    <w:rPr>
                      <w:rFonts w:hint="default"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lang w:val="en-US" w:eastAsia="zh-CN"/>
                      <w14:textFill>
                        <w14:solidFill>
                          <w14:schemeClr w14:val="tx1"/>
                        </w14:solidFill>
                      </w14:textFill>
                    </w:rPr>
                    <w:t>本项目属于风力发电项目，不属于重金属污染重点行业，运营期</w:t>
                  </w:r>
                  <w:r>
                    <w:rPr>
                      <w:rFonts w:hint="eastAsia" w:ascii="Times New Roman" w:hAnsi="Times New Roman" w:eastAsia="仿宋" w:cs="Times New Roman"/>
                      <w:bCs/>
                      <w:color w:val="000000" w:themeColor="text1"/>
                      <w:szCs w:val="21"/>
                      <w:lang w:val="en-US" w:eastAsia="zh-CN"/>
                      <w14:textFill>
                        <w14:solidFill>
                          <w14:schemeClr w14:val="tx1"/>
                        </w14:solidFill>
                      </w14:textFill>
                    </w:rPr>
                    <w:t>主变、</w:t>
                  </w:r>
                  <w:r>
                    <w:rPr>
                      <w:rFonts w:hint="default" w:ascii="Times New Roman" w:hAnsi="Times New Roman" w:eastAsia="仿宋" w:cs="Times New Roman"/>
                      <w:bCs/>
                      <w:color w:val="000000" w:themeColor="text1"/>
                      <w:szCs w:val="21"/>
                      <w:lang w:val="en-US" w:eastAsia="zh-CN"/>
                      <w14:textFill>
                        <w14:solidFill>
                          <w14:schemeClr w14:val="tx1"/>
                        </w14:solidFill>
                      </w14:textFill>
                    </w:rPr>
                    <w:t>箱变设有事故油池并设防渗措施，对土壤污染影响很小。</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加强固体废物污染防治，建立固体废物部门联动监管长效机制，提高固体废物规范化管理水平，遏制固体废物特别是危险废物非法转移、倾倒、处置。</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项目运营期检修废油委托有资质单位处置，退役后的风机叶片交由厂家回收，产生固废均能得到合理处置。各类固废可妥善收集处置，不随意转移、倾倒、处置。</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2025年大理州地表水国控断面达到或好于Ⅲ类水体比例应达到94.4%，地表水国控断面劣V类水体比例应为0，洱海湖心断面（洱海湖心、洱海北部湖心及小关邑）水质达到Ⅱ类。</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项目建设、运行过程中产生的废水全部收集处理后回用，不直接排入地表水体，不会导致区域河流、湖泊等地表水体突破水质目标要求。</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加大环境污染物减排力度，到2025年，化学需氧量、氨氮、氮氧化物、挥发性有机物排放总量等主要污染物重点工程减排量为5142吨、206吨、1010吨、445吨。</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本项目不涉及化学需氧量、氨氮、氮氧化物、挥发性有机物排放。</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加强重金属污染防治，严格环境准入管理。到2025年，重点行业重点重金属污染物排放量比2020年下降10%。</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本项目不涉及重金属污染物排放。</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到2025年，大理州州府所在地大理市PM</w:t>
                  </w:r>
                  <w:r>
                    <w:rPr>
                      <w:rFonts w:eastAsia="仿宋"/>
                      <w:bCs/>
                      <w:color w:val="000000" w:themeColor="text1"/>
                      <w:szCs w:val="21"/>
                      <w:vertAlign w:val="subscript"/>
                      <w14:textFill>
                        <w14:solidFill>
                          <w14:schemeClr w14:val="tx1"/>
                        </w14:solidFill>
                      </w14:textFill>
                    </w:rPr>
                    <w:t>2.5</w:t>
                  </w:r>
                  <w:r>
                    <w:rPr>
                      <w:rFonts w:eastAsia="仿宋"/>
                      <w:bCs/>
                      <w:color w:val="000000" w:themeColor="text1"/>
                      <w:szCs w:val="21"/>
                      <w14:textFill>
                        <w14:solidFill>
                          <w14:schemeClr w14:val="tx1"/>
                        </w14:solidFill>
                      </w14:textFill>
                    </w:rPr>
                    <w:t>监测值不得超过15μg/m³，城市空气质量优良天数比例不得低于99.7%，无重污染天数。</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项目施工期扬尘通过采取临时拦挡防护、洒水降尘等，可得到有效控制，对环境空气质量的影响短暂。运行期项目无大气污染产生，不会导致重污染发生，不会使得区域空气质量优良率下降。</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eastAsia="仿宋"/>
                      <w:b/>
                      <w:color w:val="000000" w:themeColor="text1"/>
                      <w:szCs w:val="21"/>
                      <w14:textFill>
                        <w14:solidFill>
                          <w14:schemeClr w14:val="tx1"/>
                        </w14:solidFill>
                      </w14:textFill>
                    </w:rPr>
                  </w:pPr>
                </w:p>
              </w:tc>
              <w:tc>
                <w:tcPr>
                  <w:tcW w:w="2494" w:type="pct"/>
                  <w:gridSpan w:val="2"/>
                  <w:noWrap w:val="0"/>
                  <w:vAlign w:val="center"/>
                </w:tcPr>
                <w:p>
                  <w:pPr>
                    <w:adjustRightInd w:val="0"/>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到2025年，全州农村生活污水治理率达52.20%，生活垃圾处理设施覆盖率达到80%以上，城市生活垃圾资源化利用率达到60%左右，焚烧处理能力占无害化处理能力比重达到65%左右，城市污泥无害化处置率达到90%以上。农村卫生户厕覆盖率达到70％以上，农膜回收率达到85%以上，农作物秸秆综合利用率稳定在86%以上。</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项目施工期、运行期生活污水自建处理设施收集处理，可达标回用。生活垃圾统一收集</w:t>
                  </w:r>
                  <w:r>
                    <w:rPr>
                      <w:rFonts w:hint="eastAsia" w:ascii="Times New Roman" w:hAnsi="Times New Roman" w:eastAsia="仿宋" w:cs="Times New Roman"/>
                      <w:bCs/>
                      <w:color w:val="000000" w:themeColor="text1"/>
                      <w:szCs w:val="21"/>
                      <w:lang w:val="en-US" w:eastAsia="zh-CN"/>
                      <w14:textFill>
                        <w14:solidFill>
                          <w14:schemeClr w14:val="tx1"/>
                        </w14:solidFill>
                      </w14:textFill>
                    </w:rPr>
                    <w:t>后委托当地环卫部门定期清运处置</w:t>
                  </w:r>
                  <w:r>
                    <w:rPr>
                      <w:rFonts w:hint="default" w:ascii="Times New Roman" w:hAnsi="Times New Roman" w:eastAsia="仿宋" w:cs="Times New Roman"/>
                      <w:bCs/>
                      <w:color w:val="000000" w:themeColor="text1"/>
                      <w:szCs w:val="21"/>
                      <w14:textFill>
                        <w14:solidFill>
                          <w14:schemeClr w14:val="tx1"/>
                        </w14:solidFill>
                      </w14:textFill>
                    </w:rPr>
                    <w:t>，可妥善处理。</w:t>
                  </w:r>
                </w:p>
              </w:tc>
              <w:tc>
                <w:tcPr>
                  <w:tcW w:w="428" w:type="pct"/>
                  <w:gridSpan w:val="3"/>
                  <w:noWrap w:val="0"/>
                  <w:vAlign w:val="center"/>
                </w:tcPr>
                <w:p>
                  <w:pPr>
                    <w:adjustRightInd w:val="0"/>
                    <w:snapToGrid w:val="0"/>
                    <w:jc w:val="center"/>
                    <w:rPr>
                      <w:rFonts w:hint="eastAsia"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restart"/>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restart"/>
                  <w:noWrap w:val="0"/>
                  <w:vAlign w:val="center"/>
                </w:tcPr>
                <w:p>
                  <w:pPr>
                    <w:adjustRightInd w:val="0"/>
                    <w:snapToGrid w:val="0"/>
                    <w:rPr>
                      <w:rFonts w:hint="eastAsia"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环境风险防控</w:t>
                  </w: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加强环境风险防控和应急管理，完善突发环境事件应急预案，强化落实政府主导、部门协调、分级负责、属地为主、全社会参与的环境风险管控机制，定期开展环境风险隐患排查与整治，提升风险防控和突发环境事件应急处理处置能力。</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项目投入运营前编制</w:t>
                  </w:r>
                  <w:r>
                    <w:rPr>
                      <w:rFonts w:hint="default" w:ascii="Times New Roman" w:hAnsi="Times New Roman" w:eastAsia="仿宋" w:cs="Times New Roman"/>
                      <w:bCs/>
                      <w:color w:val="000000" w:themeColor="text1"/>
                      <w:szCs w:val="21"/>
                      <w:lang w:eastAsia="zh-CN"/>
                      <w14:textFill>
                        <w14:solidFill>
                          <w14:schemeClr w14:val="tx1"/>
                        </w14:solidFill>
                      </w14:textFill>
                    </w:rPr>
                    <w:t>突发</w:t>
                  </w:r>
                  <w:r>
                    <w:rPr>
                      <w:rFonts w:hint="default" w:ascii="Times New Roman" w:hAnsi="Times New Roman" w:eastAsia="仿宋" w:cs="Times New Roman"/>
                      <w:bCs/>
                      <w:color w:val="000000" w:themeColor="text1"/>
                      <w:szCs w:val="21"/>
                      <w14:textFill>
                        <w14:solidFill>
                          <w14:schemeClr w14:val="tx1"/>
                        </w14:solidFill>
                      </w14:textFill>
                    </w:rPr>
                    <w:t>环境风险应急预案并报</w:t>
                  </w:r>
                  <w:r>
                    <w:rPr>
                      <w:rFonts w:hint="default" w:ascii="Times New Roman" w:hAnsi="Times New Roman" w:eastAsia="仿宋" w:cs="Times New Roman"/>
                      <w:bCs/>
                      <w:color w:val="000000" w:themeColor="text1"/>
                      <w:szCs w:val="21"/>
                      <w:lang w:val="en-US" w:eastAsia="zh-CN"/>
                      <w14:textFill>
                        <w14:solidFill>
                          <w14:schemeClr w14:val="tx1"/>
                        </w14:solidFill>
                      </w14:textFill>
                    </w:rPr>
                    <w:t>大理白族自治州生态环境局</w:t>
                  </w:r>
                  <w:r>
                    <w:rPr>
                      <w:rFonts w:hint="eastAsia" w:ascii="Times New Roman" w:hAnsi="Times New Roman" w:eastAsia="仿宋" w:cs="Times New Roman"/>
                      <w:bCs/>
                      <w:color w:val="000000" w:themeColor="text1"/>
                      <w:szCs w:val="21"/>
                      <w:lang w:val="en-US" w:eastAsia="zh-CN"/>
                      <w14:textFill>
                        <w14:solidFill>
                          <w14:schemeClr w14:val="tx1"/>
                        </w14:solidFill>
                      </w14:textFill>
                    </w:rPr>
                    <w:t>弥渡</w:t>
                  </w:r>
                  <w:r>
                    <w:rPr>
                      <w:rFonts w:hint="default" w:ascii="Times New Roman" w:hAnsi="Times New Roman" w:eastAsia="仿宋" w:cs="Times New Roman"/>
                      <w:bCs/>
                      <w:color w:val="000000" w:themeColor="text1"/>
                      <w:szCs w:val="21"/>
                      <w:lang w:val="en-US" w:eastAsia="zh-CN"/>
                      <w14:textFill>
                        <w14:solidFill>
                          <w14:schemeClr w14:val="tx1"/>
                        </w14:solidFill>
                      </w14:textFill>
                    </w:rPr>
                    <w:t>分局进行备案</w:t>
                  </w:r>
                  <w:r>
                    <w:rPr>
                      <w:rFonts w:hint="default" w:ascii="Times New Roman" w:hAnsi="Times New Roman" w:eastAsia="仿宋" w:cs="Times New Roman"/>
                      <w:bCs/>
                      <w:color w:val="000000" w:themeColor="text1"/>
                      <w:szCs w:val="21"/>
                      <w14:textFill>
                        <w14:solidFill>
                          <w14:schemeClr w14:val="tx1"/>
                        </w14:solidFill>
                      </w14:textFill>
                    </w:rPr>
                    <w:t>，定期开展环境风险隐患排查与整治，提升风险防控和突发环境事件应急处理处置能力。</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严格落实以洱海为重点的饮用水水源地应急防控工作机制，确保饮用水水源安全。加强沘江—交汇口、黑惠江—徐村桥、顺濞河—顺濞桥、永平河—水泄、漾弓江—中江、礼社江—回辉登、李仙江—安定等优良水质断面的水环境风险防控。</w:t>
                  </w:r>
                </w:p>
              </w:tc>
              <w:tc>
                <w:tcPr>
                  <w:tcW w:w="1378" w:type="pct"/>
                  <w:gridSpan w:val="2"/>
                  <w:noWrap w:val="0"/>
                  <w:vAlign w:val="center"/>
                </w:tcPr>
                <w:p>
                  <w:pPr>
                    <w:adjustRightInd w:val="0"/>
                    <w:snapToGrid w:val="0"/>
                    <w:rPr>
                      <w:rFonts w:hint="default"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项目不涉及</w:t>
                  </w:r>
                  <w:r>
                    <w:rPr>
                      <w:rFonts w:hint="default" w:ascii="Times New Roman" w:hAnsi="Times New Roman" w:eastAsia="仿宋" w:cs="Times New Roman"/>
                      <w:bCs/>
                      <w:color w:val="000000" w:themeColor="text1"/>
                      <w:szCs w:val="21"/>
                      <w:lang w:val="en-US" w:eastAsia="zh-CN"/>
                      <w14:textFill>
                        <w14:solidFill>
                          <w14:schemeClr w14:val="tx1"/>
                        </w14:solidFill>
                      </w14:textFill>
                    </w:rPr>
                    <w:t>周边已划定的</w:t>
                  </w:r>
                  <w:r>
                    <w:rPr>
                      <w:rFonts w:hint="default" w:ascii="Times New Roman" w:hAnsi="Times New Roman" w:eastAsia="仿宋" w:cs="Times New Roman"/>
                      <w:bCs/>
                      <w:color w:val="000000" w:themeColor="text1"/>
                      <w:szCs w:val="21"/>
                      <w14:textFill>
                        <w14:solidFill>
                          <w14:schemeClr w14:val="tx1"/>
                        </w14:solidFill>
                      </w14:textFill>
                    </w:rPr>
                    <w:t>饮用水水源保护区，运营期不外排废水，对地表水体影响小。</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加强对长期水质优良断面的环境监管，密切关注主要污染指标浓度值变化，注重风险管控预防，重点推进断面流域内农业农村面源污染控制、城镇生活污染源和工业污染治理等，防止“好水变差”。</w:t>
                  </w:r>
                </w:p>
              </w:tc>
              <w:tc>
                <w:tcPr>
                  <w:tcW w:w="1378" w:type="pct"/>
                  <w:gridSpan w:val="2"/>
                  <w:noWrap w:val="0"/>
                  <w:vAlign w:val="center"/>
                </w:tcPr>
                <w:p>
                  <w:pPr>
                    <w:adjustRightInd w:val="0"/>
                    <w:snapToGrid w:val="0"/>
                    <w:rPr>
                      <w:rFonts w:hint="default" w:ascii="Times New Roman" w:hAnsi="Times New Roman" w:eastAsia="仿宋" w:cs="Times New Roman"/>
                      <w:bCs/>
                      <w:color w:val="000000" w:themeColor="text1"/>
                      <w:szCs w:val="21"/>
                      <w:lang w:val="en-US"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项目运营期不外排废水，对地表水体影响小，不会导致区域长期水质优良断面水质下降。</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严格尾矿库项目准入，健全完善尾矿库污染防治的长效机制，杜绝非不可抗力因素导致的尾矿库突发环境事件。</w:t>
                  </w:r>
                </w:p>
              </w:tc>
              <w:tc>
                <w:tcPr>
                  <w:tcW w:w="1378" w:type="pct"/>
                  <w:gridSpan w:val="2"/>
                  <w:noWrap w:val="0"/>
                  <w:vAlign w:val="center"/>
                </w:tcPr>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本项目属于风力发电项目，不涉及尾矿库建设。</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restart"/>
                  <w:noWrap w:val="0"/>
                  <w:vAlign w:val="center"/>
                </w:tcPr>
                <w:p>
                  <w:pPr>
                    <w:adjustRightInd w:val="0"/>
                    <w:snapToGrid w:val="0"/>
                    <w:rPr>
                      <w:rFonts w:hint="eastAsia"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资源开发利用效率</w:t>
                  </w:r>
                </w:p>
              </w:tc>
              <w:tc>
                <w:tcPr>
                  <w:tcW w:w="259" w:type="pct"/>
                  <w:vMerge w:val="restart"/>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强化约束性指标管理，降低水、土地、能源、矿产等资源消耗强度。</w:t>
                  </w:r>
                </w:p>
              </w:tc>
              <w:tc>
                <w:tcPr>
                  <w:tcW w:w="1378" w:type="pct"/>
                  <w:gridSpan w:val="2"/>
                  <w:noWrap w:val="0"/>
                  <w:vAlign w:val="center"/>
                </w:tcPr>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项目属清洁能源开发利用工程，永久占地很小，运营期不消耗用水，不涉及压覆矿产。</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实行最严格的水资源管理制度，严格用水总量、强度指标管理，严格取水管控，建立重点监控取水单位名录，强化重点监控取水单位管理。到2025年，全州用水总量控制在14.5亿立方米、万元工业用水量比2020年下降16%。</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项目施工期用水量很少，运营期风力发电过程中不涉及用水。</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坚持最严格的耕地保护制度，严守耕地保护底线不突破。坚持节约用地，严格执行耕地占补平衡等制度，提高土地投资强度和单位面积产出水平。</w:t>
                  </w:r>
                </w:p>
              </w:tc>
              <w:tc>
                <w:tcPr>
                  <w:tcW w:w="1378" w:type="pct"/>
                  <w:gridSpan w:val="2"/>
                  <w:noWrap w:val="0"/>
                  <w:vAlign w:val="center"/>
                </w:tcPr>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项目用地现状</w:t>
                  </w:r>
                  <w:r>
                    <w:rPr>
                      <w:rFonts w:hint="default" w:ascii="Times New Roman" w:hAnsi="Times New Roman" w:eastAsia="仿宋" w:cs="Times New Roman"/>
                      <w:bCs/>
                      <w:color w:val="000000" w:themeColor="text1"/>
                      <w:szCs w:val="21"/>
                      <w:lang w:val="en-US" w:eastAsia="zh-CN"/>
                      <w14:textFill>
                        <w14:solidFill>
                          <w14:schemeClr w14:val="tx1"/>
                        </w14:solidFill>
                      </w14:textFill>
                    </w:rPr>
                    <w:t>主要为人工乔木林地、灌木林地、交通用地、园地、其他土地</w:t>
                  </w:r>
                  <w:r>
                    <w:rPr>
                      <w:rFonts w:hint="default" w:ascii="Times New Roman" w:hAnsi="Times New Roman" w:eastAsia="仿宋" w:cs="Times New Roman"/>
                      <w:bCs/>
                      <w:color w:val="000000" w:themeColor="text1"/>
                      <w:szCs w:val="21"/>
                      <w14:textFill>
                        <w14:solidFill>
                          <w14:schemeClr w14:val="tx1"/>
                        </w14:solidFill>
                      </w14:textFill>
                    </w:rPr>
                    <w:t>，不占用耕地。各项设施严格按标准控制用地规模，节约用地。</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全州单位GDP能耗持续下降，能耗增量控制目标达到省考核要求。</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项目属清洁能源开发利用工程，自身建设运行能耗小。</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59" w:type="pct"/>
                  <w:vMerge w:val="continue"/>
                  <w:noWrap w:val="0"/>
                  <w:vAlign w:val="center"/>
                </w:tcPr>
                <w:p>
                  <w:pPr>
                    <w:adjustRightInd w:val="0"/>
                    <w:snapToGrid w:val="0"/>
                    <w:rPr>
                      <w:rFonts w:hint="eastAsia" w:eastAsia="仿宋"/>
                      <w:color w:val="000000" w:themeColor="text1"/>
                      <w:szCs w:val="21"/>
                      <w14:textFill>
                        <w14:solidFill>
                          <w14:schemeClr w14:val="tx1"/>
                        </w14:solidFill>
                      </w14:textFill>
                    </w:rPr>
                  </w:pPr>
                </w:p>
              </w:tc>
              <w:tc>
                <w:tcPr>
                  <w:tcW w:w="2494" w:type="pct"/>
                  <w:gridSpan w:val="2"/>
                  <w:noWrap w:val="0"/>
                  <w:vAlign w:val="top"/>
                </w:tcPr>
                <w:p>
                  <w:pPr>
                    <w:adjustRightInd w:val="0"/>
                    <w:snapToGrid w:val="0"/>
                    <w:rPr>
                      <w:rFonts w:hint="eastAsia"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不再新建30万吨/年以下露天铁矿、10万吨/年以下地下铁矿。原则上不再新建年产矿石量30万吨以下的铜矿。不再新建日处理岩金矿石300吨以下的露天采选项目、100吨以下的地下采选项目。不再新建60万吨/年以下矿（井）盐项目等准入要求。限制开采高硫、高砷、高灰、高氟煤、砂金、砂铁。禁止开采可耕地砖瓦用粘土、原生汞矿</w:t>
                  </w:r>
                  <w:r>
                    <w:rPr>
                      <w:rFonts w:hint="eastAsia" w:eastAsia="仿宋"/>
                      <w:bCs/>
                      <w:color w:val="000000" w:themeColor="text1"/>
                      <w:szCs w:val="21"/>
                      <w14:textFill>
                        <w14:solidFill>
                          <w14:schemeClr w14:val="tx1"/>
                        </w14:solidFill>
                      </w14:textFill>
                    </w:rPr>
                    <w:t>。</w:t>
                  </w:r>
                </w:p>
              </w:tc>
              <w:tc>
                <w:tcPr>
                  <w:tcW w:w="1378" w:type="pct"/>
                  <w:gridSpan w:val="2"/>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default" w:ascii="Times New Roman" w:hAnsi="Times New Roman" w:eastAsia="仿宋" w:cs="Times New Roman"/>
                      <w:bCs/>
                      <w:color w:val="000000" w:themeColor="text1"/>
                      <w:szCs w:val="21"/>
                      <w14:textFill>
                        <w14:solidFill>
                          <w14:schemeClr w14:val="tx1"/>
                        </w14:solidFill>
                      </w14:textFill>
                    </w:rPr>
                    <w:t>项目不涉及各类矿产资源、粘土等开采。</w:t>
                  </w:r>
                </w:p>
              </w:tc>
              <w:tc>
                <w:tcPr>
                  <w:tcW w:w="428" w:type="pct"/>
                  <w:gridSpan w:val="3"/>
                  <w:noWrap w:val="0"/>
                  <w:vAlign w:val="center"/>
                </w:tcPr>
                <w:p>
                  <w:pPr>
                    <w:adjustRightInd w:val="0"/>
                    <w:snapToGrid w:val="0"/>
                    <w:rPr>
                      <w:rFonts w:eastAsia="仿宋"/>
                      <w:b w:val="0"/>
                      <w:bCs/>
                      <w:color w:val="000000" w:themeColor="text1"/>
                      <w:szCs w:val="21"/>
                      <w14:textFill>
                        <w14:solidFill>
                          <w14:schemeClr w14:val="tx1"/>
                        </w14:solidFill>
                      </w14:textFill>
                    </w:rPr>
                  </w:pPr>
                  <w:r>
                    <w:rPr>
                      <w:rFonts w:hint="eastAsia" w:eastAsia="仿宋"/>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39"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仿宋" w:cs="Times New Roman"/>
                      <w:b/>
                      <w:bCs w:val="0"/>
                      <w:color w:val="000000" w:themeColor="text1"/>
                      <w:szCs w:val="21"/>
                      <w:lang w:eastAsia="zh-CN"/>
                      <w14:textFill>
                        <w14:solidFill>
                          <w14:schemeClr w14:val="tx1"/>
                        </w14:solidFill>
                      </w14:textFill>
                    </w:rPr>
                  </w:pPr>
                  <w:r>
                    <w:rPr>
                      <w:rFonts w:hint="eastAsia" w:ascii="Times New Roman" w:hAnsi="Times New Roman" w:eastAsia="仿宋" w:cs="Times New Roman"/>
                      <w:b/>
                      <w:bCs w:val="0"/>
                      <w:color w:val="000000" w:themeColor="text1"/>
                      <w:szCs w:val="21"/>
                      <w:lang w:eastAsia="zh-CN"/>
                      <w14:textFill>
                        <w14:solidFill>
                          <w14:schemeClr w14:val="tx1"/>
                        </w14:solidFill>
                      </w14:textFill>
                    </w:rPr>
                    <w:t>管控单元</w:t>
                  </w:r>
                </w:p>
              </w:tc>
              <w:tc>
                <w:tcPr>
                  <w:tcW w:w="2753"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s="Times New Roman"/>
                      <w:b/>
                      <w:bCs w:val="0"/>
                      <w:color w:val="000000" w:themeColor="text1"/>
                      <w:szCs w:val="21"/>
                      <w14:textFill>
                        <w14:solidFill>
                          <w14:schemeClr w14:val="tx1"/>
                        </w14:solidFill>
                      </w14:textFill>
                    </w:rPr>
                  </w:pPr>
                  <w:r>
                    <w:rPr>
                      <w:rFonts w:hint="eastAsia" w:ascii="Times New Roman" w:hAnsi="Times New Roman" w:eastAsia="仿宋" w:cs="Times New Roman"/>
                      <w:b/>
                      <w:bCs w:val="0"/>
                      <w:color w:val="000000" w:themeColor="text1"/>
                      <w:szCs w:val="21"/>
                      <w:lang w:eastAsia="zh-CN"/>
                      <w14:textFill>
                        <w14:solidFill>
                          <w14:schemeClr w14:val="tx1"/>
                        </w14:solidFill>
                      </w14:textFill>
                    </w:rPr>
                    <w:t>准入要求</w:t>
                  </w:r>
                </w:p>
              </w:tc>
              <w:tc>
                <w:tcPr>
                  <w:tcW w:w="137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仿宋" w:cs="Times New Roman"/>
                      <w:b/>
                      <w:bCs w:val="0"/>
                      <w:color w:val="000000" w:themeColor="text1"/>
                      <w:szCs w:val="21"/>
                      <w:lang w:eastAsia="zh-CN"/>
                      <w14:textFill>
                        <w14:solidFill>
                          <w14:schemeClr w14:val="tx1"/>
                        </w14:solidFill>
                      </w14:textFill>
                    </w:rPr>
                  </w:pPr>
                  <w:r>
                    <w:rPr>
                      <w:rFonts w:hint="eastAsia" w:ascii="Times New Roman" w:hAnsi="Times New Roman" w:eastAsia="仿宋" w:cs="Times New Roman"/>
                      <w:b/>
                      <w:bCs w:val="0"/>
                      <w:color w:val="000000" w:themeColor="text1"/>
                      <w:szCs w:val="21"/>
                      <w:lang w:eastAsia="zh-CN"/>
                      <w14:textFill>
                        <w14:solidFill>
                          <w14:schemeClr w14:val="tx1"/>
                        </w14:solidFill>
                      </w14:textFill>
                    </w:rPr>
                    <w:t>本项目情况</w:t>
                  </w:r>
                </w:p>
              </w:tc>
              <w:tc>
                <w:tcPr>
                  <w:tcW w:w="42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仿宋" w:cs="Times New Roman"/>
                      <w:b w:val="0"/>
                      <w:bCs/>
                      <w:color w:val="000000" w:themeColor="text1"/>
                      <w:szCs w:val="21"/>
                      <w:lang w:eastAsia="zh-CN"/>
                      <w14:textFill>
                        <w14:solidFill>
                          <w14:schemeClr w14:val="tx1"/>
                        </w14:solidFill>
                      </w14:textFill>
                    </w:rPr>
                  </w:pPr>
                  <w:r>
                    <w:rPr>
                      <w:rFonts w:hint="eastAsia" w:ascii="Times New Roman" w:hAnsi="Times New Roman" w:eastAsia="仿宋" w:cs="Times New Roman"/>
                      <w:b/>
                      <w:bCs w:val="0"/>
                      <w:color w:val="000000" w:themeColor="text1"/>
                      <w:szCs w:val="21"/>
                      <w:lang w:eastAsia="zh-CN"/>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39" w:type="pct"/>
                  <w:vMerge w:val="restart"/>
                  <w:noWrap w:val="0"/>
                  <w:vAlign w:val="center"/>
                </w:tcPr>
                <w:p>
                  <w:pPr>
                    <w:adjustRightInd w:val="0"/>
                    <w:snapToGrid w:val="0"/>
                    <w:rPr>
                      <w:rFonts w:hint="eastAsia" w:ascii="Times New Roman" w:hAnsi="Times New Roman" w:eastAsia="仿宋" w:cs="Times New Roman"/>
                      <w:b/>
                      <w:bCs w:val="0"/>
                      <w:color w:val="000000" w:themeColor="text1"/>
                      <w:szCs w:val="21"/>
                      <w:lang w:eastAsia="zh-CN"/>
                      <w14:textFill>
                        <w14:solidFill>
                          <w14:schemeClr w14:val="tx1"/>
                        </w14:solidFill>
                      </w14:textFill>
                    </w:rPr>
                  </w:pPr>
                  <w:r>
                    <w:rPr>
                      <w:rFonts w:ascii="Times New Roman" w:hAnsi="Times New Roman" w:eastAsia="仿宋" w:cs="Times New Roman"/>
                      <w:b/>
                      <w:bCs w:val="0"/>
                      <w:color w:val="000000" w:themeColor="text1"/>
                      <w:szCs w:val="21"/>
                      <w14:textFill>
                        <w14:solidFill>
                          <w14:schemeClr w14:val="tx1"/>
                        </w14:solidFill>
                      </w14:textFill>
                    </w:rPr>
                    <w:t>弥渡县农业农村面源污染重点管控单元</w:t>
                  </w:r>
                </w:p>
                <w:p>
                  <w:pPr>
                    <w:adjustRightInd w:val="0"/>
                    <w:snapToGrid w:val="0"/>
                    <w:rPr>
                      <w:rFonts w:hint="eastAsia" w:ascii="Times New Roman" w:hAnsi="Times New Roman" w:eastAsia="仿宋" w:cs="Times New Roman"/>
                      <w:b/>
                      <w:bCs w:val="0"/>
                      <w:color w:val="000000" w:themeColor="text1"/>
                      <w:szCs w:val="21"/>
                      <w14:textFill>
                        <w14:solidFill>
                          <w14:schemeClr w14:val="tx1"/>
                        </w14:solidFill>
                      </w14:textFill>
                    </w:rPr>
                  </w:pPr>
                </w:p>
              </w:tc>
              <w:tc>
                <w:tcPr>
                  <w:tcW w:w="602" w:type="pct"/>
                  <w:gridSpan w:val="2"/>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ascii="Times New Roman" w:hAnsi="Times New Roman" w:eastAsia="仿宋" w:cs="Times New Roman"/>
                      <w:bCs/>
                      <w:color w:val="000000" w:themeColor="text1"/>
                      <w:szCs w:val="21"/>
                      <w:lang w:eastAsia="zh-CN"/>
                      <w14:textFill>
                        <w14:solidFill>
                          <w14:schemeClr w14:val="tx1"/>
                        </w14:solidFill>
                      </w14:textFill>
                    </w:rPr>
                    <w:t>（一）空间布局约束</w:t>
                  </w:r>
                </w:p>
              </w:tc>
              <w:tc>
                <w:tcPr>
                  <w:tcW w:w="2151" w:type="pct"/>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ascii="Times New Roman" w:hAnsi="Times New Roman" w:eastAsia="仿宋" w:cs="Times New Roman"/>
                      <w:bCs/>
                      <w:color w:val="000000" w:themeColor="text1"/>
                      <w:szCs w:val="21"/>
                      <w:lang w:val="en-US" w:eastAsia="zh-CN"/>
                      <w14:textFill>
                        <w14:solidFill>
                          <w14:schemeClr w14:val="tx1"/>
                        </w14:solidFill>
                      </w14:textFill>
                    </w:rPr>
                    <w:t>1.</w:t>
                  </w:r>
                  <w:r>
                    <w:rPr>
                      <w:rFonts w:ascii="Times New Roman" w:hAnsi="Times New Roman" w:eastAsia="仿宋" w:cs="Times New Roman"/>
                      <w:bCs/>
                      <w:color w:val="000000" w:themeColor="text1"/>
                      <w:szCs w:val="21"/>
                      <w14:textFill>
                        <w14:solidFill>
                          <w14:schemeClr w14:val="tx1"/>
                        </w14:solidFill>
                      </w14:textFill>
                    </w:rPr>
                    <w:t>严格落实畜禽养殖限养、禁养要求。</w:t>
                  </w:r>
                </w:p>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2.推进测土配方施肥、新型肥料应用、水肥一体化、绿色防控技术应用及统防统治种植模式。</w:t>
                  </w:r>
                </w:p>
              </w:tc>
              <w:tc>
                <w:tcPr>
                  <w:tcW w:w="1376" w:type="pct"/>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ascii="Times New Roman" w:hAnsi="Times New Roman" w:eastAsia="仿宋" w:cs="Times New Roman"/>
                      <w:bCs/>
                      <w:color w:val="000000" w:themeColor="text1"/>
                      <w:spacing w:val="-11"/>
                      <w:sz w:val="21"/>
                      <w:szCs w:val="21"/>
                      <w:lang w:val="en-US" w:eastAsia="zh-CN"/>
                      <w14:textFill>
                        <w14:solidFill>
                          <w14:schemeClr w14:val="tx1"/>
                        </w14:solidFill>
                      </w14:textFill>
                    </w:rPr>
                    <w:t>本项目为风力发电项目，不涉及</w:t>
                  </w:r>
                  <w:r>
                    <w:rPr>
                      <w:rFonts w:hint="eastAsia" w:ascii="Times New Roman" w:hAnsi="Times New Roman" w:eastAsia="仿宋" w:cs="Times New Roman"/>
                      <w:bCs/>
                      <w:color w:val="000000" w:themeColor="text1"/>
                      <w:spacing w:val="-11"/>
                      <w:sz w:val="21"/>
                      <w:szCs w:val="21"/>
                      <w14:textFill>
                        <w14:solidFill>
                          <w14:schemeClr w14:val="tx1"/>
                        </w14:solidFill>
                      </w14:textFill>
                    </w:rPr>
                    <w:t>畜禽养殖</w:t>
                  </w:r>
                  <w:r>
                    <w:rPr>
                      <w:rFonts w:hint="eastAsia" w:ascii="Times New Roman" w:hAnsi="Times New Roman" w:eastAsia="仿宋" w:cs="Times New Roman"/>
                      <w:bCs/>
                      <w:color w:val="000000" w:themeColor="text1"/>
                      <w:spacing w:val="-11"/>
                      <w:sz w:val="21"/>
                      <w:szCs w:val="21"/>
                      <w:lang w:val="en-US" w:eastAsia="zh-CN"/>
                      <w14:textFill>
                        <w14:solidFill>
                          <w14:schemeClr w14:val="tx1"/>
                        </w14:solidFill>
                      </w14:textFill>
                    </w:rPr>
                    <w:t>和农业种植</w:t>
                  </w:r>
                  <w:r>
                    <w:rPr>
                      <w:rFonts w:hint="eastAsia" w:ascii="Times New Roman" w:hAnsi="Times New Roman" w:eastAsia="仿宋" w:cs="Times New Roman"/>
                      <w:bCs/>
                      <w:color w:val="000000" w:themeColor="text1"/>
                      <w:spacing w:val="-11"/>
                      <w:sz w:val="21"/>
                      <w:szCs w:val="21"/>
                      <w14:textFill>
                        <w14:solidFill>
                          <w14:schemeClr w14:val="tx1"/>
                        </w14:solidFill>
                      </w14:textFill>
                    </w:rPr>
                    <w:t>，项目</w:t>
                  </w:r>
                  <w:r>
                    <w:rPr>
                      <w:rFonts w:hint="eastAsia" w:ascii="Times New Roman" w:hAnsi="Times New Roman" w:eastAsia="仿宋" w:cs="Times New Roman"/>
                      <w:bCs/>
                      <w:color w:val="000000" w:themeColor="text1"/>
                      <w:spacing w:val="-11"/>
                      <w:sz w:val="21"/>
                      <w:szCs w:val="21"/>
                      <w:lang w:val="en-US" w:eastAsia="zh-CN"/>
                      <w14:textFill>
                        <w14:solidFill>
                          <w14:schemeClr w14:val="tx1"/>
                        </w14:solidFill>
                      </w14:textFill>
                    </w:rPr>
                    <w:t>运营期不产生生产废水和废气，</w:t>
                  </w:r>
                  <w:r>
                    <w:rPr>
                      <w:rFonts w:hint="eastAsia" w:eastAsia="仿宋" w:cs="Times New Roman"/>
                      <w:bCs/>
                      <w:color w:val="000000" w:themeColor="text1"/>
                      <w:spacing w:val="-11"/>
                      <w:sz w:val="21"/>
                      <w:szCs w:val="21"/>
                      <w:lang w:val="en-US" w:eastAsia="zh-CN"/>
                      <w14:textFill>
                        <w14:solidFill>
                          <w14:schemeClr w14:val="tx1"/>
                        </w14:solidFill>
                      </w14:textFill>
                    </w:rPr>
                    <w:t>开关站</w:t>
                  </w:r>
                  <w:r>
                    <w:rPr>
                      <w:rFonts w:hint="eastAsia" w:ascii="Times New Roman" w:hAnsi="Times New Roman" w:eastAsia="仿宋" w:cs="Times New Roman"/>
                      <w:bCs/>
                      <w:color w:val="000000" w:themeColor="text1"/>
                      <w:spacing w:val="-11"/>
                      <w:sz w:val="21"/>
                      <w:szCs w:val="21"/>
                      <w:lang w:val="en-US" w:eastAsia="zh-CN"/>
                      <w14:textFill>
                        <w14:solidFill>
                          <w14:schemeClr w14:val="tx1"/>
                        </w14:solidFill>
                      </w14:textFill>
                    </w:rPr>
                    <w:t>生活污水处理后回用于站区绿化，不外排，不会使农村面源污染加重</w:t>
                  </w:r>
                  <w:r>
                    <w:rPr>
                      <w:rFonts w:hint="eastAsia" w:ascii="Times New Roman" w:hAnsi="Times New Roman" w:eastAsia="仿宋" w:cs="Times New Roman"/>
                      <w:bCs/>
                      <w:color w:val="000000" w:themeColor="text1"/>
                      <w:spacing w:val="-11"/>
                      <w:sz w:val="21"/>
                      <w:szCs w:val="21"/>
                      <w14:textFill>
                        <w14:solidFill>
                          <w14:schemeClr w14:val="tx1"/>
                        </w14:solidFill>
                      </w14:textFill>
                    </w:rPr>
                    <w:t>。</w:t>
                  </w:r>
                </w:p>
              </w:tc>
              <w:tc>
                <w:tcPr>
                  <w:tcW w:w="428" w:type="pct"/>
                  <w:gridSpan w:val="3"/>
                  <w:noWrap w:val="0"/>
                  <w:vAlign w:val="center"/>
                </w:tcPr>
                <w:p>
                  <w:pPr>
                    <w:adjustRightInd w:val="0"/>
                    <w:snapToGrid w:val="0"/>
                    <w:rPr>
                      <w:rFonts w:hint="eastAsia" w:ascii="Times New Roman" w:hAnsi="Times New Roman" w:eastAsia="仿宋" w:cs="Times New Roman"/>
                      <w:b w:val="0"/>
                      <w:bCs/>
                      <w:color w:val="000000" w:themeColor="text1"/>
                      <w:szCs w:val="21"/>
                      <w14:textFill>
                        <w14:solidFill>
                          <w14:schemeClr w14:val="tx1"/>
                        </w14:solidFill>
                      </w14:textFill>
                    </w:rPr>
                  </w:pPr>
                  <w:r>
                    <w:rPr>
                      <w:rFonts w:hint="eastAsia" w:ascii="Times New Roman" w:hAnsi="Times New Roman" w:eastAsia="仿宋" w:cs="Times New Roman"/>
                      <w:b w:val="0"/>
                      <w:bCs/>
                      <w:color w:val="000000" w:themeColor="text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39" w:type="pct"/>
                  <w:vMerge w:val="continue"/>
                  <w:noWrap w:val="0"/>
                  <w:vAlign w:val="center"/>
                </w:tcPr>
                <w:p>
                  <w:pPr>
                    <w:adjustRightInd w:val="0"/>
                    <w:snapToGrid w:val="0"/>
                    <w:rPr>
                      <w:rFonts w:hint="eastAsia" w:ascii="Times New Roman" w:hAnsi="Times New Roman" w:eastAsia="仿宋" w:cs="Times New Roman"/>
                      <w:bCs/>
                      <w:color w:val="000000" w:themeColor="text1"/>
                      <w:szCs w:val="21"/>
                      <w14:textFill>
                        <w14:solidFill>
                          <w14:schemeClr w14:val="tx1"/>
                        </w14:solidFill>
                      </w14:textFill>
                    </w:rPr>
                  </w:pPr>
                </w:p>
              </w:tc>
              <w:tc>
                <w:tcPr>
                  <w:tcW w:w="602" w:type="pct"/>
                  <w:gridSpan w:val="2"/>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ascii="Times New Roman" w:hAnsi="Times New Roman" w:eastAsia="仿宋" w:cs="Times New Roman"/>
                      <w:bCs/>
                      <w:color w:val="000000" w:themeColor="text1"/>
                      <w:szCs w:val="21"/>
                      <w:lang w:eastAsia="zh-CN"/>
                      <w14:textFill>
                        <w14:solidFill>
                          <w14:schemeClr w14:val="tx1"/>
                        </w14:solidFill>
                      </w14:textFill>
                    </w:rPr>
                    <w:t>（二）污染物排放管控</w:t>
                  </w:r>
                </w:p>
              </w:tc>
              <w:tc>
                <w:tcPr>
                  <w:tcW w:w="2151" w:type="pct"/>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1.深入开展农药化肥减量增效行动，提高肥料利用率，2025年主要农作物测土配方施肥技术覆盖率稳定在90%以上。</w:t>
                  </w:r>
                </w:p>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2.积极推进“厕所革命”、农村垃圾、污水治理，源头遏制和减少污染。</w:t>
                  </w:r>
                </w:p>
                <w:p>
                  <w:pPr>
                    <w:adjustRightInd w:val="0"/>
                    <w:snapToGrid w:val="0"/>
                    <w:rPr>
                      <w:rFonts w:hint="eastAsia" w:ascii="Times New Roman" w:hAnsi="Times New Roman" w:eastAsia="仿宋" w:cs="Times New Roman"/>
                      <w:bCs/>
                      <w:color w:val="000000" w:themeColor="text1"/>
                      <w:spacing w:val="-11"/>
                      <w:sz w:val="21"/>
                      <w:szCs w:val="21"/>
                      <w:lang w:eastAsia="zh-CN"/>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3.推进规模养殖场设施装备改造，因地制宜利用畜禽养殖粪污资源，推动形成以能源化和肥料化利用为主要渠道，基料化、饲料化为补充的资源化循环利用格局。2025年，畜禽规模养殖场建立粪污资源化利用计划和</w:t>
                  </w:r>
                  <w:r>
                    <w:rPr>
                      <w:rFonts w:ascii="Times New Roman" w:hAnsi="Times New Roman" w:eastAsia="仿宋" w:cs="Times New Roman"/>
                      <w:bCs/>
                      <w:color w:val="000000" w:themeColor="text1"/>
                      <w:spacing w:val="-11"/>
                      <w:sz w:val="21"/>
                      <w:szCs w:val="21"/>
                      <w14:textFill>
                        <w14:solidFill>
                          <w14:schemeClr w14:val="tx1"/>
                        </w14:solidFill>
                      </w14:textFill>
                    </w:rPr>
                    <w:t>台账，粪污处理设施装备配套率稳定在97%以上。</w:t>
                  </w:r>
                </w:p>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4.因地制宜，加大污水治理设施建设力度，到2025年，农村污水治理率达到45.45%。对直接影响城市建成区黑臭水体治理成效的城乡接合部等区域全面开展农业农村污染治理，改善城市水体来水水质。推进水产生态健康养殖，合理布局水产养殖生产，严格控制河流湖库投饵网箱养殖，开展重点水域水产养殖尾水整治行动。水产养殖废水应处理达到相关排放标准后排放。设有污水排放口的规模化畜禽养殖场应当依法申领排污许可证，并严格持证排污、按证排污。严格做好“农家乐”、种植采摘园等范围内的生</w:t>
                  </w:r>
                  <w:r>
                    <w:rPr>
                      <w:rFonts w:ascii="Times New Roman" w:hAnsi="Times New Roman" w:eastAsia="仿宋" w:cs="Times New Roman"/>
                      <w:bCs/>
                      <w:color w:val="000000" w:themeColor="text1"/>
                      <w:spacing w:val="-11"/>
                      <w:sz w:val="21"/>
                      <w:szCs w:val="21"/>
                      <w14:textFill>
                        <w14:solidFill>
                          <w14:schemeClr w14:val="tx1"/>
                        </w14:solidFill>
                      </w14:textFill>
                    </w:rPr>
                    <w:t>活及农产品产生污水及垃圾治理。.持续加强农村生活垃圾治理力度，不断完善农村生活垃圾收运处置体系，建立健全村庄保洁机制</w:t>
                  </w:r>
                  <w:r>
                    <w:rPr>
                      <w:rFonts w:ascii="Times New Roman" w:hAnsi="Times New Roman" w:eastAsia="仿宋" w:cs="Times New Roman"/>
                      <w:bCs/>
                      <w:color w:val="000000" w:themeColor="text1"/>
                      <w:szCs w:val="21"/>
                      <w14:textFill>
                        <w14:solidFill>
                          <w14:schemeClr w14:val="tx1"/>
                        </w14:solidFill>
                      </w14:textFill>
                    </w:rPr>
                    <w:t>。</w:t>
                  </w:r>
                </w:p>
              </w:tc>
              <w:tc>
                <w:tcPr>
                  <w:tcW w:w="1376" w:type="pct"/>
                  <w:noWrap w:val="0"/>
                  <w:vAlign w:val="center"/>
                </w:tcPr>
                <w:p>
                  <w:pPr>
                    <w:adjustRightInd w:val="0"/>
                    <w:snapToGrid w:val="0"/>
                    <w:rPr>
                      <w:rFonts w:hint="eastAsia" w:ascii="Times New Roman" w:hAnsi="Times New Roman" w:eastAsia="仿宋" w:cs="Times New Roman"/>
                      <w:bCs/>
                      <w:color w:val="000000" w:themeColor="text1"/>
                      <w:szCs w:val="21"/>
                      <w:lang w:val="en-US" w:eastAsia="zh-CN"/>
                      <w14:textFill>
                        <w14:solidFill>
                          <w14:schemeClr w14:val="tx1"/>
                        </w14:solidFill>
                      </w14:textFill>
                    </w:rPr>
                  </w:pPr>
                  <w:r>
                    <w:rPr>
                      <w:rFonts w:hint="eastAsia" w:ascii="Times New Roman" w:hAnsi="Times New Roman" w:eastAsia="仿宋" w:cs="Times New Roman"/>
                      <w:bCs/>
                      <w:color w:val="000000" w:themeColor="text1"/>
                      <w:szCs w:val="21"/>
                      <w:lang w:val="en-US" w:eastAsia="zh-CN"/>
                      <w14:textFill>
                        <w14:solidFill>
                          <w14:schemeClr w14:val="tx1"/>
                        </w14:solidFill>
                      </w14:textFill>
                    </w:rPr>
                    <w:t>1.本项目为风力发电项目</w:t>
                  </w:r>
                  <w:r>
                    <w:rPr>
                      <w:rFonts w:hint="eastAsia" w:eastAsia="仿宋" w:cs="Times New Roman"/>
                      <w:bCs/>
                      <w:color w:val="000000" w:themeColor="text1"/>
                      <w:szCs w:val="21"/>
                      <w:lang w:val="en-US" w:eastAsia="zh-CN"/>
                      <w14:textFill>
                        <w14:solidFill>
                          <w14:schemeClr w14:val="tx1"/>
                        </w14:solidFill>
                      </w14:textFill>
                    </w:rPr>
                    <w:t>，</w:t>
                  </w:r>
                  <w:r>
                    <w:rPr>
                      <w:rFonts w:hint="eastAsia" w:ascii="Times New Roman" w:hAnsi="Times New Roman" w:eastAsia="仿宋" w:cs="Times New Roman"/>
                      <w:bCs/>
                      <w:color w:val="000000" w:themeColor="text1"/>
                      <w:szCs w:val="21"/>
                      <w:lang w:val="en-US" w:eastAsia="zh-CN"/>
                      <w14:textFill>
                        <w14:solidFill>
                          <w14:schemeClr w14:val="tx1"/>
                        </w14:solidFill>
                      </w14:textFill>
                    </w:rPr>
                    <w:t>项目无农业种植、畜禽养殖、水产养殖活动，不产生农药化肥污染、养殖粪污、养殖尾水等农业面源污染物；2.运营期仅产生少量生活污水（开关站值班人员），经化粪池+一体化污水处理设备处理达标后全部回用于站区绿化，不外排；3.生活垃圾统一收集后交由当地环卫部门处置，无污水、垃圾乱排乱放情况，不新增农村面源污染负荷。</w:t>
                  </w:r>
                </w:p>
              </w:tc>
              <w:tc>
                <w:tcPr>
                  <w:tcW w:w="428" w:type="pct"/>
                  <w:gridSpan w:val="3"/>
                  <w:noWrap w:val="0"/>
                  <w:vAlign w:val="center"/>
                </w:tcPr>
                <w:p>
                  <w:pPr>
                    <w:adjustRightInd w:val="0"/>
                    <w:snapToGrid w:val="0"/>
                    <w:rPr>
                      <w:rFonts w:hint="eastAsia" w:ascii="Times New Roman" w:hAnsi="Times New Roman" w:eastAsia="仿宋" w:cs="Times New Roman"/>
                      <w:b w:val="0"/>
                      <w:bCs/>
                      <w:color w:val="000000" w:themeColor="text1"/>
                      <w:szCs w:val="21"/>
                      <w:lang w:eastAsia="zh-CN"/>
                      <w14:textFill>
                        <w14:solidFill>
                          <w14:schemeClr w14:val="tx1"/>
                        </w14:solidFill>
                      </w14:textFill>
                    </w:rPr>
                  </w:pPr>
                  <w:r>
                    <w:rPr>
                      <w:rFonts w:hint="eastAsia" w:eastAsia="仿宋" w:cs="Times New Roman"/>
                      <w:b w:val="0"/>
                      <w:bCs/>
                      <w:color w:val="000000" w:themeColor="text1"/>
                      <w:szCs w:val="21"/>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39" w:type="pct"/>
                  <w:vMerge w:val="continue"/>
                  <w:noWrap w:val="0"/>
                  <w:vAlign w:val="center"/>
                </w:tcPr>
                <w:p>
                  <w:pPr>
                    <w:adjustRightInd w:val="0"/>
                    <w:snapToGrid w:val="0"/>
                    <w:rPr>
                      <w:rFonts w:hint="eastAsia" w:ascii="Times New Roman" w:hAnsi="Times New Roman" w:eastAsia="仿宋" w:cs="Times New Roman"/>
                      <w:bCs/>
                      <w:color w:val="000000" w:themeColor="text1"/>
                      <w:szCs w:val="21"/>
                      <w14:textFill>
                        <w14:solidFill>
                          <w14:schemeClr w14:val="tx1"/>
                        </w14:solidFill>
                      </w14:textFill>
                    </w:rPr>
                  </w:pPr>
                </w:p>
              </w:tc>
              <w:tc>
                <w:tcPr>
                  <w:tcW w:w="602" w:type="pct"/>
                  <w:gridSpan w:val="2"/>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ascii="Times New Roman" w:hAnsi="Times New Roman" w:eastAsia="仿宋" w:cs="Times New Roman"/>
                      <w:bCs/>
                      <w:color w:val="000000" w:themeColor="text1"/>
                      <w:szCs w:val="21"/>
                      <w:lang w:eastAsia="zh-CN"/>
                      <w14:textFill>
                        <w14:solidFill>
                          <w14:schemeClr w14:val="tx1"/>
                        </w14:solidFill>
                      </w14:textFill>
                    </w:rPr>
                    <w:t>（三）环境风险防控</w:t>
                  </w:r>
                </w:p>
              </w:tc>
              <w:tc>
                <w:tcPr>
                  <w:tcW w:w="2151" w:type="pct"/>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1.农田灌溉用水应当符合相应的水质标准，防止土壤、地下水和农产品污染。</w:t>
                  </w:r>
                </w:p>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2.在农业种植中，禁止使用重金属、难降解有机污染物的污水以及未经检验和安全处理的污水处理厂污泥、清淤底泥、矿渣等作为肥料。</w:t>
                  </w:r>
                </w:p>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3.规范处理处置畜禽养殖场粪便、污水，防止造成养殖基地及其周边土壤的污染。</w:t>
                  </w:r>
                </w:p>
              </w:tc>
              <w:tc>
                <w:tcPr>
                  <w:tcW w:w="1376" w:type="pct"/>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eastAsia="仿宋" w:cs="Times New Roman"/>
                      <w:bCs/>
                      <w:color w:val="000000" w:themeColor="text1"/>
                      <w:szCs w:val="21"/>
                      <w:lang w:val="en-US" w:eastAsia="zh-CN"/>
                      <w14:textFill>
                        <w14:solidFill>
                          <w14:schemeClr w14:val="tx1"/>
                        </w14:solidFill>
                      </w14:textFill>
                    </w:rPr>
                    <w:t>1</w:t>
                  </w:r>
                  <w:r>
                    <w:rPr>
                      <w:rFonts w:ascii="Times New Roman" w:hAnsi="Times New Roman" w:eastAsia="仿宋" w:cs="Times New Roman"/>
                      <w:bCs/>
                      <w:color w:val="000000" w:themeColor="text1"/>
                      <w:szCs w:val="21"/>
                      <w14:textFill>
                        <w14:solidFill>
                          <w14:schemeClr w14:val="tx1"/>
                        </w14:solidFill>
                      </w14:textFill>
                    </w:rPr>
                    <w:t>.项目无农田灌溉、农业种植施肥、畜禽养殖等活动，不存在违规用水、违规用肥、粪污乱排等环境风险；2.施工期弃渣、建筑垃圾全部运至指定弃渣场处置，生活污水、施工废水经处理后回用或妥善处置，不污染土壤、地下水，不影响周边农业生产环境。</w:t>
                  </w:r>
                </w:p>
              </w:tc>
              <w:tc>
                <w:tcPr>
                  <w:tcW w:w="428" w:type="pct"/>
                  <w:gridSpan w:val="3"/>
                  <w:noWrap w:val="0"/>
                  <w:vAlign w:val="center"/>
                </w:tcPr>
                <w:p>
                  <w:pPr>
                    <w:adjustRightInd w:val="0"/>
                    <w:snapToGrid w:val="0"/>
                    <w:jc w:val="center"/>
                    <w:rPr>
                      <w:rFonts w:hint="eastAsia" w:ascii="Times New Roman" w:hAnsi="Times New Roman" w:eastAsia="仿宋" w:cs="Times New Roman"/>
                      <w:b w:val="0"/>
                      <w:bCs/>
                      <w:color w:val="000000" w:themeColor="text1"/>
                      <w:szCs w:val="21"/>
                      <w:lang w:eastAsia="zh-CN"/>
                      <w14:textFill>
                        <w14:solidFill>
                          <w14:schemeClr w14:val="tx1"/>
                        </w14:solidFill>
                      </w14:textFill>
                    </w:rPr>
                  </w:pPr>
                  <w:r>
                    <w:rPr>
                      <w:rFonts w:hint="eastAsia" w:eastAsia="仿宋" w:cs="Times New Roman"/>
                      <w:b w:val="0"/>
                      <w:bCs/>
                      <w:color w:val="000000" w:themeColor="text1"/>
                      <w:szCs w:val="21"/>
                      <w:lang w:eastAsia="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pct"/>
              </w:trPr>
              <w:tc>
                <w:tcPr>
                  <w:tcW w:w="439" w:type="pct"/>
                  <w:vMerge w:val="continue"/>
                  <w:noWrap w:val="0"/>
                  <w:vAlign w:val="center"/>
                </w:tcPr>
                <w:p>
                  <w:pPr>
                    <w:adjustRightInd w:val="0"/>
                    <w:snapToGrid w:val="0"/>
                    <w:rPr>
                      <w:rFonts w:hint="eastAsia" w:ascii="Times New Roman" w:hAnsi="Times New Roman" w:eastAsia="仿宋" w:cs="Times New Roman"/>
                      <w:bCs/>
                      <w:color w:val="000000" w:themeColor="text1"/>
                      <w:szCs w:val="21"/>
                      <w14:textFill>
                        <w14:solidFill>
                          <w14:schemeClr w14:val="tx1"/>
                        </w14:solidFill>
                      </w14:textFill>
                    </w:rPr>
                  </w:pPr>
                </w:p>
              </w:tc>
              <w:tc>
                <w:tcPr>
                  <w:tcW w:w="602" w:type="pct"/>
                  <w:gridSpan w:val="2"/>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ascii="Times New Roman" w:hAnsi="Times New Roman" w:eastAsia="仿宋" w:cs="Times New Roman"/>
                      <w:bCs/>
                      <w:color w:val="000000" w:themeColor="text1"/>
                      <w:szCs w:val="21"/>
                      <w:lang w:eastAsia="zh-CN"/>
                      <w14:textFill>
                        <w14:solidFill>
                          <w14:schemeClr w14:val="tx1"/>
                        </w14:solidFill>
                      </w14:textFill>
                    </w:rPr>
                    <w:t>（四）资源开发效率要求</w:t>
                  </w:r>
                </w:p>
              </w:tc>
              <w:tc>
                <w:tcPr>
                  <w:tcW w:w="2151" w:type="pct"/>
                  <w:noWrap w:val="0"/>
                  <w:vAlign w:val="center"/>
                </w:tcPr>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1.</w:t>
                  </w:r>
                  <w:r>
                    <w:rPr>
                      <w:rFonts w:ascii="Times New Roman" w:hAnsi="Times New Roman" w:eastAsia="仿宋" w:cs="Times New Roman"/>
                      <w:bCs/>
                      <w:color w:val="000000" w:themeColor="text1"/>
                      <w:spacing w:val="-11"/>
                      <w:sz w:val="21"/>
                      <w:szCs w:val="21"/>
                      <w14:textFill>
                        <w14:solidFill>
                          <w14:schemeClr w14:val="tx1"/>
                        </w14:solidFill>
                      </w14:textFill>
                    </w:rPr>
                    <w:t>发展农业节水，加强节水灌溉工程建设和节水改造，农田灌溉水有效利用系数提高到0.54。</w:t>
                  </w:r>
                </w:p>
                <w:p>
                  <w:pPr>
                    <w:adjustRightInd w:val="0"/>
                    <w:snapToGrid w:val="0"/>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2.畜禽粪污综合利用率确保达到80%以上。</w:t>
                  </w:r>
                </w:p>
                <w:p>
                  <w:pPr>
                    <w:adjustRightInd w:val="0"/>
                    <w:snapToGrid w:val="0"/>
                    <w:rPr>
                      <w:rFonts w:ascii="Times New Roman" w:hAnsi="Times New Roman" w:eastAsia="仿宋" w:cs="Times New Roman"/>
                      <w:bCs/>
                      <w:color w:val="000000" w:themeColor="text1"/>
                      <w:szCs w:val="21"/>
                      <w14:textFill>
                        <w14:solidFill>
                          <w14:schemeClr w14:val="tx1"/>
                        </w14:solidFill>
                      </w14:textFill>
                    </w:rPr>
                  </w:pPr>
                  <w:r>
                    <w:rPr>
                      <w:rFonts w:ascii="Times New Roman" w:hAnsi="Times New Roman" w:eastAsia="仿宋" w:cs="Times New Roman"/>
                      <w:bCs/>
                      <w:color w:val="000000" w:themeColor="text1"/>
                      <w:szCs w:val="21"/>
                      <w14:textFill>
                        <w14:solidFill>
                          <w14:schemeClr w14:val="tx1"/>
                        </w14:solidFill>
                      </w14:textFill>
                    </w:rPr>
                    <w:t>3.加快推进农村生活垃圾分类减量与利用。</w:t>
                  </w:r>
                </w:p>
              </w:tc>
              <w:tc>
                <w:tcPr>
                  <w:tcW w:w="1376" w:type="pct"/>
                  <w:noWrap w:val="0"/>
                  <w:vAlign w:val="center"/>
                </w:tcPr>
                <w:p>
                  <w:pPr>
                    <w:adjustRightInd w:val="0"/>
                    <w:snapToGrid w:val="0"/>
                    <w:jc w:val="center"/>
                    <w:rPr>
                      <w:rFonts w:hint="eastAsia" w:ascii="Times New Roman" w:hAnsi="Times New Roman" w:eastAsia="仿宋" w:cs="Times New Roman"/>
                      <w:bCs/>
                      <w:color w:val="000000" w:themeColor="text1"/>
                      <w:szCs w:val="21"/>
                      <w:lang w:eastAsia="zh-CN"/>
                      <w14:textFill>
                        <w14:solidFill>
                          <w14:schemeClr w14:val="tx1"/>
                        </w14:solidFill>
                      </w14:textFill>
                    </w:rPr>
                  </w:pPr>
                  <w:r>
                    <w:rPr>
                      <w:rFonts w:hint="eastAsia" w:eastAsia="仿宋" w:cs="Times New Roman"/>
                      <w:bCs/>
                      <w:color w:val="000000" w:themeColor="text1"/>
                      <w:szCs w:val="21"/>
                      <w:lang w:eastAsia="zh-CN"/>
                      <w14:textFill>
                        <w14:solidFill>
                          <w14:schemeClr w14:val="tx1"/>
                        </w14:solidFill>
                      </w14:textFill>
                    </w:rPr>
                    <w:t>本项目不涉及</w:t>
                  </w:r>
                </w:p>
              </w:tc>
              <w:tc>
                <w:tcPr>
                  <w:tcW w:w="428" w:type="pct"/>
                  <w:gridSpan w:val="3"/>
                  <w:noWrap w:val="0"/>
                  <w:vAlign w:val="center"/>
                </w:tcPr>
                <w:p>
                  <w:pPr>
                    <w:adjustRightInd w:val="0"/>
                    <w:snapToGrid w:val="0"/>
                    <w:jc w:val="center"/>
                    <w:rPr>
                      <w:rFonts w:hint="eastAsia" w:ascii="Times New Roman" w:hAnsi="Times New Roman" w:eastAsia="仿宋" w:cs="Times New Roman"/>
                      <w:b w:val="0"/>
                      <w:bCs/>
                      <w:color w:val="000000" w:themeColor="text1"/>
                      <w:szCs w:val="21"/>
                      <w:lang w:eastAsia="zh-CN"/>
                      <w14:textFill>
                        <w14:solidFill>
                          <w14:schemeClr w14:val="tx1"/>
                        </w14:solidFill>
                      </w14:textFill>
                    </w:rPr>
                  </w:pPr>
                  <w:r>
                    <w:rPr>
                      <w:rFonts w:hint="eastAsia" w:eastAsia="仿宋" w:cs="Times New Roman"/>
                      <w:b w:val="0"/>
                      <w:bCs/>
                      <w:color w:val="000000" w:themeColor="text1"/>
                      <w:szCs w:val="21"/>
                      <w:lang w:eastAsia="zh-CN"/>
                      <w14:textFill>
                        <w14:solidFill>
                          <w14:schemeClr w14:val="tx1"/>
                        </w14:solidFill>
                      </w14:textFill>
                    </w:rPr>
                    <w:t>符合</w:t>
                  </w:r>
                </w:p>
              </w:tc>
            </w:tr>
          </w:tbl>
          <w:p>
            <w:pPr>
              <w:adjustRightInd w:val="0"/>
              <w:snapToGrid w:val="0"/>
              <w:spacing w:line="360" w:lineRule="auto"/>
              <w:ind w:firstLine="480" w:firstLineChars="200"/>
              <w:rPr>
                <w:rFonts w:hint="eastAsia"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综上所述，项目符合</w:t>
            </w:r>
            <w:r>
              <w:rPr>
                <w:rFonts w:eastAsia="仿宋"/>
                <w:color w:val="000000" w:themeColor="text1"/>
                <w:sz w:val="24"/>
                <w14:textFill>
                  <w14:solidFill>
                    <w14:schemeClr w14:val="tx1"/>
                  </w14:solidFill>
                </w14:textFill>
              </w:rPr>
              <w:t>《大理州生态环境分区管控动态更新调整方案（2023年）》的通知</w:t>
            </w:r>
            <w:r>
              <w:rPr>
                <w:rFonts w:hint="eastAsia" w:eastAsia="仿宋"/>
                <w:color w:val="000000" w:themeColor="text1"/>
                <w:sz w:val="24"/>
                <w14:textFill>
                  <w14:solidFill>
                    <w14:schemeClr w14:val="tx1"/>
                  </w14:solidFill>
                </w14:textFill>
              </w:rPr>
              <w:t>相关要求。项目严格落实相关法律法规要求，符合</w:t>
            </w:r>
            <w:r>
              <w:rPr>
                <w:rFonts w:hint="eastAsia" w:eastAsia="仿宋"/>
                <w:color w:val="000000" w:themeColor="text1"/>
                <w:sz w:val="24"/>
                <w:lang w:eastAsia="zh-CN"/>
                <w14:textFill>
                  <w14:solidFill>
                    <w14:schemeClr w14:val="tx1"/>
                  </w14:solidFill>
                </w14:textFill>
              </w:rPr>
              <w:t>弥渡县</w:t>
            </w:r>
            <w:r>
              <w:rPr>
                <w:rFonts w:hint="eastAsia" w:eastAsia="仿宋"/>
                <w:color w:val="000000" w:themeColor="text1"/>
                <w:sz w:val="24"/>
                <w14:textFill>
                  <w14:solidFill>
                    <w14:schemeClr w14:val="tx1"/>
                  </w14:solidFill>
                </w14:textFill>
              </w:rPr>
              <w:t>生态环境分区管控一般管控单元空间布局约束条件。</w:t>
            </w:r>
          </w:p>
          <w:p>
            <w:pPr>
              <w:autoSpaceDE w:val="0"/>
              <w:autoSpaceDN w:val="0"/>
              <w:adjustRightInd w:val="0"/>
              <w:snapToGrid w:val="0"/>
              <w:spacing w:line="360" w:lineRule="auto"/>
              <w:ind w:firstLine="482" w:firstLineChars="200"/>
              <w:jc w:val="left"/>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三、与《大理州“十四五”生态环境保护规划》（大政办发〔2022〕33号）的符合性分析</w:t>
            </w:r>
          </w:p>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2022年8月20日，大理白族自治州人民政府办公室印发《大理州“十四五”生态环境保护规划》的通知，明确了涵盖环境治理、应对气候变化、环境风险防控和生态保护的规划目标指标体系。</w:t>
            </w:r>
          </w:p>
          <w:p>
            <w:pPr>
              <w:adjustRightInd w:val="0"/>
              <w:snapToGrid w:val="0"/>
              <w:spacing w:line="360" w:lineRule="auto"/>
              <w:ind w:firstLine="482"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《大理州“十四五”生态环境保护规划》相关要求如下：</w:t>
            </w:r>
            <w:r>
              <w:rPr>
                <w:rFonts w:hint="eastAsia" w:ascii="仿宋" w:hAnsi="仿宋" w:eastAsia="仿宋" w:cs="仿宋"/>
                <w:color w:val="000000" w:themeColor="text1"/>
                <w:sz w:val="24"/>
                <w:szCs w:val="24"/>
                <w:lang w:val="en-US" w:eastAsia="zh-CN"/>
                <w14:textFill>
                  <w14:solidFill>
                    <w14:schemeClr w14:val="tx1"/>
                  </w14:solidFill>
                </w14:textFill>
              </w:rPr>
              <w:t>构建国土空间开发保护新格局：以国土空间规划为基础，严格落实生态保护红线、永久基本农田保护红线和城镇开发边界，减少对自然生态空间的占用，推动生产空间集约高效、生活空间宜居适度、生态空间山清水秀。加强城市化地区基本农田和生态空间保护，保障生态环保型工业产品和服务，强化城市规划区中未开发区生态环境管理。持续推进生态功能区、生态脆弱区生态保护和修复，支持重要生态功能区、生态敏感区、生态脆弱区开展生态移民，加快洱海流域产业转移、人口疏解，实施苍山洱海一体化保护，推动洱源西湖等生态脆弱区人口逐步有序迁移。持续开展大规模国土绿化行动，推进城市、重点区域和重点流域绿道廊道建设。建立健全生态环境分区引导机制：加快推进“三线一单”落实落地，把“三线一单”作为区域资源开发、产业布局和结构调整、城镇建设、重大项目选址的重要依据，确保发展不超载、底线不突破。不断优化“三线一单”生态环境分区管控，采取分类保护、分区管控措施，强化空间管制，加快形成以“三线一单”生态环境分区管控体系为基础的生态环境管理格局和节约资源、保护环境的空间格局。</w:t>
            </w:r>
          </w:p>
          <w:p>
            <w:pPr>
              <w:adjustRightInd w:val="0"/>
              <w:snapToGrid w:val="0"/>
              <w:spacing w:line="360" w:lineRule="auto"/>
              <w:ind w:firstLine="482"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符合性分析：</w:t>
            </w:r>
            <w:r>
              <w:rPr>
                <w:rFonts w:hint="eastAsia" w:ascii="仿宋" w:hAnsi="仿宋" w:eastAsia="仿宋" w:cs="仿宋"/>
                <w:color w:val="000000" w:themeColor="text1"/>
                <w:sz w:val="24"/>
                <w:szCs w:val="24"/>
                <w:lang w:val="en-US" w:eastAsia="zh-CN"/>
                <w14:textFill>
                  <w14:solidFill>
                    <w14:schemeClr w14:val="tx1"/>
                  </w14:solidFill>
                </w14:textFill>
              </w:rPr>
              <w:t>项目严格落实生态保护红线、永久基本农田、城镇开发边界及 “三线一单”生态环境分区管控规定，风电机组、箱变、开关站等永久占地均主动避让基本农田、生态保护红线、国家二级公益林与天然乔木林，施工期临时占地严格禁止占用生态保护红线并尽量缩小占地与植被破坏范围，施工结束后及时对扰动区域开展植被恢复与生态修复，最大限度减少对自然生态空间的占用与扰动，符合大理州构建国土空间开发保护新格局、强化生态保护与分区管控的相关要求。，项目建设符合《大理州“十四五”生态环境保护规划》的要求。</w:t>
            </w:r>
          </w:p>
          <w:p>
            <w:pPr>
              <w:autoSpaceDE w:val="0"/>
              <w:autoSpaceDN w:val="0"/>
              <w:adjustRightInd w:val="0"/>
              <w:snapToGrid w:val="0"/>
              <w:spacing w:line="360" w:lineRule="auto"/>
              <w:ind w:firstLine="482" w:firstLineChars="200"/>
              <w:jc w:val="left"/>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四、与《弥渡县“十四五”生态环境保护专项规划》的符合性分析</w:t>
            </w:r>
          </w:p>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2021年12月14日，大理州生态环境局弥渡分局发布《弥渡县“十四五”生态环境保护专项规划》，本项目与其符合性分析如下：</w:t>
            </w:r>
          </w:p>
          <w:p>
            <w:pPr>
              <w:pStyle w:val="57"/>
              <w:bidi w:val="0"/>
              <w:rPr>
                <w:rFonts w:hint="default"/>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表1-6项目与《弥渡县“十四五”生态环境保护专项规划》的符合性分析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6"/>
              <w:gridCol w:w="2779"/>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noWrap w:val="0"/>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规划内容</w:t>
                  </w:r>
                </w:p>
              </w:tc>
              <w:tc>
                <w:tcPr>
                  <w:tcW w:w="1754" w:type="pct"/>
                  <w:noWrap w:val="0"/>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本项目情况</w:t>
                  </w:r>
                </w:p>
              </w:tc>
              <w:tc>
                <w:tcPr>
                  <w:tcW w:w="495" w:type="pct"/>
                  <w:noWrap w:val="0"/>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（一）持续做好大气污染防治</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实施“一企一策 ”提高大气污染防治能力，完成工业炉窑深度综合治理，完成重点行业无组织排放治理，进行重点行业挥发性有机物治理，严格控制VOCs排放。重点发展的建筑建材产业需严格控制臭氧的排放。加强对工业企业和园区的大气环境质量监管，紧跟产业结构调整情况，不断优化污染防治措施，强化二氧化硫、氮氧化物、挥发性有机物、臭氧、化学需氧量和氨氮等主要污染物总量减排，分行业推动实施颗粒物、总磷、总氮、重金属、挥发性有机物（VOCs）的工业企业污</w:t>
                  </w:r>
                  <w:r>
                    <w:rPr>
                      <w:rFonts w:hint="eastAsia" w:ascii="仿宋" w:hAnsi="仿宋" w:eastAsia="仿宋" w:cs="仿宋"/>
                      <w:color w:val="000000" w:themeColor="text1"/>
                      <w:spacing w:val="8"/>
                      <w:sz w:val="21"/>
                      <w:szCs w:val="21"/>
                      <w14:textFill>
                        <w14:solidFill>
                          <w14:schemeClr w14:val="tx1"/>
                        </w14:solidFill>
                      </w14:textFill>
                    </w:rPr>
                    <w:t>染物排放总量控制。</w:t>
                  </w:r>
                </w:p>
              </w:tc>
              <w:tc>
                <w:tcPr>
                  <w:tcW w:w="1754" w:type="pct"/>
                  <w:noWrap w:val="0"/>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本项目为风力发电新能源项目，无工业生产废气、VOCs、臭氧、二氧化硫、氮氧化物等污染物产生；施工期仅产生少量扬尘，已采取洒水降尘、围挡、覆盖等抑尘措施；运营期仅产生少量食堂油烟，经油烟净化器处理后达标排放，对区域大气环境影响较小。</w:t>
                  </w:r>
                </w:p>
              </w:tc>
              <w:tc>
                <w:tcPr>
                  <w:tcW w:w="495"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（二）突出加大水污染防治</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推行工业企业清洁生产。引导企业采用先进的生产工艺和技术手段，提高工业用水重复率，降低单位工业产值废水和水污染物排放量，加快完成十大重点行业企业清洁化改造，开展专项后评价工作。积极推广循环经济理念，扶持相关产业发展。深入推进工业园区循环化改造和工业“三废 ”资源化利用，提高资源产出率和循环利用率。</w:t>
                  </w:r>
                </w:p>
              </w:tc>
              <w:tc>
                <w:tcPr>
                  <w:tcW w:w="1754" w:type="pct"/>
                  <w:noWrap w:val="0"/>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项目运营期无生产废水排放，仅产生少量食堂废水与生活污水；食堂废水经隔油处理后与生活污水一并进入化粪池，再经一体化污水处理设施处理达标后全部回用于站区绿化，不外排，实现水资源循环利用。</w:t>
                  </w:r>
                </w:p>
              </w:tc>
              <w:tc>
                <w:tcPr>
                  <w:tcW w:w="495"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（三）重视加强土壤污染防治</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新、改、扩建增加铅、汞、镉、铬、砷等类重金属排放的建设项目选址须符合主体功能区划和环保规划规定，禁止新建向河流排放含汞、砷、镉、铬、铅重金属污染的项目；禁止在水源保护区、自然保护区、风景名胜区、森林公园、生态保护红线等区域新建排放重金属项目或设置排污口；优质耕地、永久基本农田、农田土壤优先保护区周边不新建涉重行业企业。</w:t>
                  </w:r>
                </w:p>
              </w:tc>
              <w:tc>
                <w:tcPr>
                  <w:tcW w:w="1754" w:type="pct"/>
                  <w:noWrap w:val="0"/>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本项目不属于涉重金属行业，不排放铅、汞、镉、铬、砷等重金属污染物；项目风机、箱变、开关站等选址已避让生态保护红线、永久基本农田、自然保护区、风景名胜区及公益林，不涉及禁限建区域，无土壤污染风险。</w:t>
                  </w:r>
                </w:p>
              </w:tc>
              <w:tc>
                <w:tcPr>
                  <w:tcW w:w="495"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（四）切实加强固废污染防治</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推动企业技术改造和产业升级，建立绿色技术体系，研究和开发节约能源、减少物耗、减少废物排放量的技术，提倡清洁生产和绿色产品的使用，减少固体废弃物的产生。支持和鼓励进行固体废弃物的回收和再生利用，促进资源的循环利用。推行工业固体废物重点产生企业清洁生产审核，促进企业加强技术改进、降低能耗和物耗，减少固体废物产生，促进废物在企业内部的循环使用和综合利用</w:t>
                  </w:r>
                </w:p>
              </w:tc>
              <w:tc>
                <w:tcPr>
                  <w:tcW w:w="1754" w:type="pct"/>
                  <w:noWrap w:val="0"/>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产生的固废主要为生活垃圾、餐厨垃圾、隔油池废油脂、化粪池污泥及少量废矿物油；生活垃圾由环卫部门统一清运，餐厨垃圾及废油脂委托专业单位处置，废矿物油规范收集暂存后委托有资质单位处置，各类固废均得到安全处置、资源化利用，无随意丢弃现象。</w:t>
                  </w:r>
                </w:p>
              </w:tc>
              <w:tc>
                <w:tcPr>
                  <w:tcW w:w="495"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0"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（五）做好环境风险防范</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防范环境污染事故、确保环境安全，坚持以防为主，强化环境风险的源头防范。对环境风险防范措施不满足环评文件及批复要求的建设项目，一律不得投入试生产；对环境风险防范措施落实不到位的项目，一律不予验收。提高全社会的环境安全意识，加强防范污染事故的宣传工作。强化对企业环保法律法规的宣传，从源头上预防环境污染事故，对重点污染企</w:t>
                  </w:r>
                  <w:r>
                    <w:rPr>
                      <w:rFonts w:hint="eastAsia" w:ascii="仿宋" w:hAnsi="仿宋" w:eastAsia="仿宋" w:cs="仿宋"/>
                      <w:color w:val="000000" w:themeColor="text1"/>
                      <w:spacing w:val="9"/>
                      <w:sz w:val="21"/>
                      <w:szCs w:val="21"/>
                      <w14:textFill>
                        <w14:solidFill>
                          <w14:schemeClr w14:val="tx1"/>
                        </w14:solidFill>
                      </w14:textFill>
                    </w:rPr>
                    <w:t>业要加强技术指导和培训</w:t>
                  </w:r>
                </w:p>
              </w:tc>
              <w:tc>
                <w:tcPr>
                  <w:tcW w:w="1754"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项目已落实各项环保与风险防范措施，后续将按规定编制突发环境事件应急预案，报生态环境部门备案，并定期开展应急演练，严格落实环境安全管理要求，环境风险可控。</w:t>
                  </w:r>
                </w:p>
              </w:tc>
              <w:tc>
                <w:tcPr>
                  <w:tcW w:w="49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bl>
          <w:p>
            <w:pPr>
              <w:adjustRightInd w:val="0"/>
              <w:snapToGrid w:val="0"/>
              <w:spacing w:line="360" w:lineRule="auto"/>
              <w:ind w:firstLine="480" w:firstLineChars="200"/>
              <w:rPr>
                <w:rFonts w:ascii="宋体" w:hAnsi="宋体" w:eastAsia="宋体" w:cs="宋体"/>
                <w:color w:val="000000" w:themeColor="text1"/>
                <w:spacing w:val="-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综上所述，本项目符合《弥渡县“十四五 ”生态环境保护专项规划》的要求。</w:t>
            </w:r>
          </w:p>
          <w:p>
            <w:pPr>
              <w:autoSpaceDE w:val="0"/>
              <w:autoSpaceDN w:val="0"/>
              <w:adjustRightInd w:val="0"/>
              <w:snapToGrid w:val="0"/>
              <w:spacing w:line="360" w:lineRule="auto"/>
              <w:ind w:firstLine="482" w:firstLineChars="200"/>
              <w:jc w:val="left"/>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五、《云南省绿色能源发展“十四五”规划》及其环境影响评价篇章符合性分析</w:t>
            </w:r>
          </w:p>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项目与《云南省绿色能源发展“十四五”规划》及其环境影响评价篇章的符合性分析见表1-7。</w:t>
            </w:r>
          </w:p>
          <w:p>
            <w:pPr>
              <w:pStyle w:val="57"/>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表1-7项目与《云南省绿色能源发展“十四五”规划》及其环评篇章的符合性分析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4184"/>
              <w:gridCol w:w="2152"/>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序号</w:t>
                  </w:r>
                </w:p>
              </w:tc>
              <w:tc>
                <w:tcPr>
                  <w:tcW w:w="2641"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《规划内容》（节选）</w:t>
                  </w:r>
                </w:p>
              </w:tc>
              <w:tc>
                <w:tcPr>
                  <w:tcW w:w="1358"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本项目情况</w:t>
                  </w:r>
                </w:p>
              </w:tc>
              <w:tc>
                <w:tcPr>
                  <w:tcW w:w="567"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2641"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第四章重点任务</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绿色优先，多能互补，完善能源供给体系。</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2.优化布局全面有序开发风电</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新能源。按照“能开全开，能开尽开，依法依规，科学有序”的原则，全面有序放开新能源开发，推动新能源成为未来增量电源主体。加快新能源布局规划、研究等工作，推行规划+动态项目库管理，支持条件成熟的项目尽快启动建设，动态调整，滚动发展，宜开全开。统筹考虑生态保护、电力供需、要素保障、电网接入消纳等因素，加快推进适宜地区适度开发利用新能源项目建设，充分利用现有调节能力，打造“风光水火储”多能互补基地，重点布局金沙江下游、澜沧江中下游、红河流域、金沙江中游、澜沧江与金沙江上游“风光水储”和曲靖“风光火储”基地；加快推进集中式复合新能源项目，打造一批新能源+生态修复、新能源+乡村振兴以及农光、林光互补试点示范。以整县分布式</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、产业园区分布式</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和多场景应用分布式</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为重点，积极发展分布式</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。“十四五”新增装机规模5000万千瓦以上。</w:t>
                  </w:r>
                </w:p>
              </w:tc>
              <w:tc>
                <w:tcPr>
                  <w:tcW w:w="135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本项目属于云南省 “千乡万村驭风行动”重点支持的乡村风电项目，符合国家及云南省大力发展风电、优化能源结构的政策导向，是规划鼓励的集中式+分布式风电开发类型，接入条件与消纳条件均已落实。</w:t>
                  </w:r>
                </w:p>
              </w:tc>
              <w:tc>
                <w:tcPr>
                  <w:tcW w:w="56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2641"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第六章 环境影响分析与国土空间规划衔接性评价</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规划》实施过程中，所有建设项目均要根据有关法律法规要求编制环境影响评价文件，并充分衔接国土空间规划“三区三线”《规划》协调性分析评价强调能源发展和环境保护并重，加强对大气、水环境、土壤的保护，与建设生态文明建设排头兵方向一致。</w:t>
                  </w:r>
                </w:p>
              </w:tc>
              <w:tc>
                <w:tcPr>
                  <w:tcW w:w="135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本项目已按规定开展环境影响评价工作，严格对照国土空间规划“三区三线”、大理州生态环境分区管控要求开展符合性分析，各项建设内容均与国土空间规划相衔接。</w:t>
                  </w:r>
                </w:p>
              </w:tc>
              <w:tc>
                <w:tcPr>
                  <w:tcW w:w="56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2641"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规划》实施环境影响分析评价“十四五”时期，《规划》项目开发建设对环境的主要影响有：水电、新能源项目开发和送出工程，可能对环境敏感区产生影响，可能带来上下游水文泥沙情势变化，可能对水生生物及陆生生物造成一定影响。（一）发挥《规划》的指导约束作用发挥能源规划及规划环评的指导约束作用，合理规划项目布局，避让自然保护区、风景名胜区等各类自然保护地和集中居民区等环境敏感区，采取工程和生态保护措施，减少树木采伐，及时进行生态修复，降低生态影响。</w:t>
                  </w:r>
                </w:p>
              </w:tc>
              <w:tc>
                <w:tcPr>
                  <w:tcW w:w="135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选址阶段已全面避让自然保护区、风景名胜区、生态保护红线及集中居民区等环境敏感区域；施工期严格控制占地范围，施工结束后对临时占地、扰动区域及时采取覆土、植树种草等生态恢复措施，生态影响可控。</w:t>
                  </w:r>
                </w:p>
              </w:tc>
              <w:tc>
                <w:tcPr>
                  <w:tcW w:w="56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2641"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三、国土空间规划衔接性评价根据《中共中央 国务院关于统一规划体系更好发挥国家发展规划战略导向作用的意见》《中共中央 国务院关于建立国土空间规划体系并监督实施的若干意见》及相关法律法规要求，本《规划》与国土空间规划“三区三线”进行了初步衔接，部分项目受前期工作深度影响需在具体工作中进一步加强衔接，科学谋划项目选址。本《规划》有关建设项目在推动中均须与</w:t>
                  </w:r>
                  <w:r>
                    <w:rPr>
                      <w:rFonts w:hint="eastAsia" w:ascii="仿宋" w:hAnsi="仿宋" w:eastAsia="仿宋" w:cs="仿宋"/>
                      <w:color w:val="000000" w:themeColor="text1"/>
                      <w:sz w:val="21"/>
                      <w:szCs w:val="21"/>
                      <w:lang w:val="en-US" w:eastAsia="zh-CN"/>
                      <w14:textFill>
                        <w14:solidFill>
                          <w14:schemeClr w14:val="tx1"/>
                        </w14:solidFill>
                      </w14:textFill>
                    </w:rPr>
                    <w:t>各</w:t>
                  </w:r>
                  <w:r>
                    <w:rPr>
                      <w:rFonts w:hint="eastAsia" w:ascii="仿宋" w:hAnsi="仿宋" w:eastAsia="仿宋" w:cs="仿宋"/>
                      <w:color w:val="000000" w:themeColor="text1"/>
                      <w:sz w:val="21"/>
                      <w:szCs w:val="21"/>
                      <w14:textFill>
                        <w14:solidFill>
                          <w14:schemeClr w14:val="tx1"/>
                        </w14:solidFill>
                      </w14:textFill>
                    </w:rPr>
                    <w:t>级国土空间规划衔接，严格落实国土空间规划管控要求，尽量避让生态保护红线、耕地和永久基本农田，部分项目符合国家规定且确需占用的，严格按照国家和云南有关规定办理。</w:t>
                  </w:r>
                </w:p>
              </w:tc>
              <w:tc>
                <w:tcPr>
                  <w:tcW w:w="135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根据自然资源、林草部门选址复函，本项目不占用永久基本农田、不涉及生态保护红线，不位于补充耕地和提质改造项目范围内，完全符合国土空间管控与生态环境分区管控要求。</w:t>
                  </w:r>
                </w:p>
              </w:tc>
              <w:tc>
                <w:tcPr>
                  <w:tcW w:w="56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符合</w:t>
                  </w:r>
                </w:p>
              </w:tc>
            </w:tr>
          </w:tbl>
          <w:p>
            <w:pPr>
              <w:adjustRightInd w:val="0"/>
              <w:snapToGrid w:val="0"/>
              <w:spacing w:line="360" w:lineRule="auto"/>
              <w:ind w:firstLine="480"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综上分析，本项目符合《云南省绿色能源发展“十四五”规划》及其环境影响评价篇章的相关要求。</w:t>
            </w:r>
          </w:p>
          <w:p>
            <w:pPr>
              <w:adjustRightInd w:val="0"/>
              <w:snapToGrid w:val="0"/>
              <w:spacing w:line="360" w:lineRule="auto"/>
              <w:ind w:firstLine="482"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 xml:space="preserve">六、产业政策符合性分析 </w:t>
            </w:r>
          </w:p>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本项目为风力发电项目，对照《</w:t>
            </w:r>
            <w:bookmarkStart w:id="7" w:name="OLE_LINK10"/>
            <w:r>
              <w:rPr>
                <w:rFonts w:hint="eastAsia" w:ascii="仿宋" w:hAnsi="仿宋" w:eastAsia="仿宋" w:cs="仿宋"/>
                <w:color w:val="000000" w:themeColor="text1"/>
                <w:sz w:val="24"/>
                <w:szCs w:val="24"/>
                <w:lang w:val="en-US" w:eastAsia="zh-CN"/>
                <w14:textFill>
                  <w14:solidFill>
                    <w14:schemeClr w14:val="tx1"/>
                  </w14:solidFill>
                </w14:textFill>
              </w:rPr>
              <w:t>产业结构调整指导目录</w:t>
            </w:r>
            <w:bookmarkEnd w:id="7"/>
            <w:r>
              <w:rPr>
                <w:rFonts w:hint="eastAsia" w:ascii="仿宋" w:hAnsi="仿宋" w:eastAsia="仿宋" w:cs="仿宋"/>
                <w:color w:val="000000" w:themeColor="text1"/>
                <w:sz w:val="24"/>
                <w:szCs w:val="24"/>
                <w:lang w:val="en-US" w:eastAsia="zh-CN"/>
                <w14:textFill>
                  <w14:solidFill>
                    <w14:schemeClr w14:val="tx1"/>
                  </w14:solidFill>
                </w14:textFill>
              </w:rPr>
              <w:t>（2024年本）》，项目属于</w:t>
            </w:r>
            <w:bookmarkStart w:id="8" w:name="OLE_LINK11"/>
            <w:r>
              <w:rPr>
                <w:rFonts w:hint="eastAsia" w:ascii="仿宋" w:hAnsi="仿宋" w:eastAsia="仿宋" w:cs="仿宋"/>
                <w:color w:val="000000" w:themeColor="text1"/>
                <w:sz w:val="24"/>
                <w:szCs w:val="24"/>
                <w:lang w:val="en-US" w:eastAsia="zh-CN"/>
                <w14:textFill>
                  <w14:solidFill>
                    <w14:schemeClr w14:val="tx1"/>
                  </w14:solidFill>
                </w14:textFill>
              </w:rPr>
              <w:t>鼓励类</w:t>
            </w:r>
            <w:bookmarkEnd w:id="8"/>
            <w:r>
              <w:rPr>
                <w:rFonts w:hint="eastAsia" w:ascii="仿宋" w:hAnsi="仿宋" w:eastAsia="仿宋" w:cs="仿宋"/>
                <w:color w:val="000000" w:themeColor="text1"/>
                <w:sz w:val="24"/>
                <w:szCs w:val="24"/>
                <w:lang w:val="en-US" w:eastAsia="zh-CN"/>
                <w14:textFill>
                  <w14:solidFill>
                    <w14:schemeClr w14:val="tx1"/>
                  </w14:solidFill>
                </w14:textFill>
              </w:rPr>
              <w:t>“五、新能源”中“风力发电技术与应用”中的“风电场建设”。同时，根据《西部地区鼓励类产业目录（2025年本）》，项目属于“（四）云南省”中的“38.风力、太阳能发电场建设及运营”。</w:t>
            </w:r>
          </w:p>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根据《市场准入负面清单（2025年版）》，项目不属于清单中的禁止准入类、许可准入类项目，属于可依法平等进入项目，与《市场准入负面清单（2025年版）》相符。</w:t>
            </w:r>
          </w:p>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此外，项目属于《</w:t>
            </w:r>
            <w:bookmarkStart w:id="9" w:name="OLE_LINK1"/>
            <w:r>
              <w:rPr>
                <w:rFonts w:hint="eastAsia" w:ascii="仿宋" w:hAnsi="仿宋" w:eastAsia="仿宋" w:cs="仿宋"/>
                <w:color w:val="000000" w:themeColor="text1"/>
                <w:sz w:val="24"/>
                <w:szCs w:val="24"/>
                <w:lang w:val="en-US" w:eastAsia="zh-CN"/>
                <w14:textFill>
                  <w14:solidFill>
                    <w14:schemeClr w14:val="tx1"/>
                  </w14:solidFill>
                </w14:textFill>
              </w:rPr>
              <w:t>云南省发展和改革委员会云南省能源局云南省农业农村厅关于印发云南省“千乡万村驭风行动”第一批项目开发建设方案的通知</w:t>
            </w:r>
            <w:bookmarkEnd w:id="9"/>
            <w:r>
              <w:rPr>
                <w:rFonts w:hint="eastAsia" w:ascii="仿宋" w:hAnsi="仿宋" w:eastAsia="仿宋" w:cs="仿宋"/>
                <w:color w:val="000000" w:themeColor="text1"/>
                <w:sz w:val="24"/>
                <w:szCs w:val="24"/>
                <w:lang w:val="en-US" w:eastAsia="zh-CN"/>
                <w14:textFill>
                  <w14:solidFill>
                    <w14:schemeClr w14:val="tx1"/>
                  </w14:solidFill>
                </w14:textFill>
              </w:rPr>
              <w:t>》（云能源新能〔2024〕238号）中的新能源建设项目，符合地方产业政策。</w:t>
            </w:r>
          </w:p>
          <w:p>
            <w:pPr>
              <w:adjustRightInd w:val="0"/>
              <w:snapToGrid w:val="0"/>
              <w:spacing w:line="360" w:lineRule="auto"/>
              <w:ind w:firstLine="482"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七、与《云南省关于进一步加强风电建设项目环境影响评价管理工作的通知》的符合性分析</w:t>
            </w:r>
          </w:p>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2015年5月，云南省环境保护厅关于进一步加强风电建设项目环境影响评价管理工作的通知（云环发〔2014〕50号）中要求“风电建 设要坚持生态优先的原则，结合国家和我省主体功能区规划、生态功 能区划、云南省风电开发规划以及规划环境影响评价的有关要求，切实落实生态保护措施，科学、合理、有序地推进风电建设；风电建设项目要有效避让环境敏感区和重点环境保护目标”等相关要求开展工作。</w:t>
            </w:r>
          </w:p>
          <w:p>
            <w:pPr>
              <w:adjustRightInd w:val="0"/>
              <w:snapToGrid w:val="0"/>
              <w:spacing w:line="360" w:lineRule="auto"/>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本项目与生态功能区划不冲突，符合云南省主体功能区规划及规划环境影响评价的相关要求。</w:t>
            </w:r>
          </w:p>
          <w:p>
            <w:pPr>
              <w:keepNext w:val="0"/>
              <w:keepLines w:val="0"/>
              <w:pageBreakBefore w:val="0"/>
              <w:kinsoku/>
              <w:wordWrap/>
              <w:overflowPunct/>
              <w:topLinePunct w:val="0"/>
              <w:autoSpaceDE w:val="0"/>
              <w:autoSpaceDN w:val="0"/>
              <w:bidi w:val="0"/>
              <w:adjustRightInd w:val="0"/>
              <w:snapToGrid w:val="0"/>
              <w:spacing w:line="360" w:lineRule="auto"/>
              <w:ind w:firstLine="422" w:firstLineChars="20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表1</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-8项目与（云环发〔2014〕50号）相关内容的符合性分析</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3176"/>
              <w:gridCol w:w="2831"/>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pct"/>
                  <w:noWrap w:val="0"/>
                  <w:vAlign w:val="top"/>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规划文件</w:t>
                  </w:r>
                </w:p>
              </w:tc>
              <w:tc>
                <w:tcPr>
                  <w:tcW w:w="2005" w:type="pct"/>
                  <w:noWrap w:val="0"/>
                  <w:vAlign w:val="top"/>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相关内容</w:t>
                  </w:r>
                </w:p>
              </w:tc>
              <w:tc>
                <w:tcPr>
                  <w:tcW w:w="1787" w:type="pct"/>
                  <w:noWrap w:val="0"/>
                  <w:vAlign w:val="top"/>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本项目情况</w:t>
                  </w:r>
                </w:p>
              </w:tc>
              <w:tc>
                <w:tcPr>
                  <w:tcW w:w="460" w:type="pct"/>
                  <w:noWrap w:val="0"/>
                  <w:vAlign w:val="top"/>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46"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进一步加强风电建设项目环境影响评价管理工作的通知</w:t>
                  </w:r>
                </w:p>
              </w:tc>
              <w:tc>
                <w:tcPr>
                  <w:tcW w:w="2005"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风电建设要重点关注对环境敏感区的影响。环境保护部《建设项目环境影响评价分类管理名录》中，已明确界定了环境敏感区的范围，除此之外，结合我省实际，在风电开发中，还应重点关注鸟类迁徙通道、特有（珍稀）植物群落、自然生境等重要生态环境保护目标。风电建设项目要有效避让环境敏感区和重点环境保护目标，对开发与保护统筹考虑不够的、区域生态系统影响较大的、生态环保措施不落实的以及生态环境保护资金投入不足的不予审批项目环境影响评价文件。</w:t>
                  </w:r>
                </w:p>
              </w:tc>
              <w:tc>
                <w:tcPr>
                  <w:tcW w:w="1787"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场址不涉及鸟类迁徙通道、特有/珍稀植物群落及重要自然生境；前期选址已主动避让生态保护红线、自然保护地、公益林、天然乔木林等保护目标；项目在建设和运营过程中将严格落实各项生态环境保护措施，总投资中考虑了环保专项投资费用。</w:t>
                  </w:r>
                </w:p>
              </w:tc>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p>
              </w:tc>
              <w:tc>
                <w:tcPr>
                  <w:tcW w:w="2005"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对涉及环境敏感区的风电建设项目，在开展前期工作的过程中，应按照生态优先的原则，优化风机选址、调整布局，有效避让环境敏感区，降低风电场对环境敏感区域等的不良环境影响</w:t>
                  </w:r>
                </w:p>
              </w:tc>
              <w:tc>
                <w:tcPr>
                  <w:tcW w:w="1787"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本项目在可行性研究阶段已全面优化风机机位、开关站及道路布局，避让自然保护区、风景名胜区、饮用水水源保护区等所有环境敏感区域，最大限度减小环境影响。</w:t>
                  </w:r>
                </w:p>
              </w:tc>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p>
              </w:tc>
              <w:tc>
                <w:tcPr>
                  <w:tcW w:w="2005"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统筹考虑风电建设项目进场道路、场内道路和</w:t>
                  </w:r>
                  <w:r>
                    <w:rPr>
                      <w:rFonts w:hint="eastAsia" w:ascii="仿宋" w:hAnsi="仿宋" w:eastAsia="仿宋" w:cs="仿宋"/>
                      <w:color w:val="000000" w:themeColor="text1"/>
                      <w:sz w:val="21"/>
                      <w:szCs w:val="21"/>
                      <w:highlight w:val="none"/>
                      <w:lang w:eastAsia="zh-CN"/>
                      <w14:textFill>
                        <w14:solidFill>
                          <w14:schemeClr w14:val="tx1"/>
                        </w14:solidFill>
                      </w14:textFill>
                    </w:rPr>
                    <w:t>开关站</w:t>
                  </w:r>
                  <w:r>
                    <w:rPr>
                      <w:rFonts w:hint="eastAsia" w:ascii="仿宋" w:hAnsi="仿宋" w:eastAsia="仿宋" w:cs="仿宋"/>
                      <w:color w:val="000000" w:themeColor="text1"/>
                      <w:sz w:val="21"/>
                      <w:szCs w:val="21"/>
                      <w:highlight w:val="none"/>
                      <w14:textFill>
                        <w14:solidFill>
                          <w14:schemeClr w14:val="tx1"/>
                        </w14:solidFill>
                      </w14:textFill>
                    </w:rPr>
                    <w:t>的环境影响，将上述建设内容纳入风电项目评价范围一并开展环境影响评价。</w:t>
                  </w:r>
                </w:p>
              </w:tc>
              <w:tc>
                <w:tcPr>
                  <w:tcW w:w="1787"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项目充分利用现有乡村道路及防火通道，仅改扩建少量进场及施工便道；配套建设35kV开关站及集电线路，所有道路、建构筑物、机电工程均已纳入本次环境影响评价范围。</w:t>
                  </w:r>
                </w:p>
              </w:tc>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7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p>
              </w:tc>
              <w:tc>
                <w:tcPr>
                  <w:tcW w:w="2005"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风电项目环评要按照《环境影响评价公众参与暂行办法(试行)》的要求，组织开展公众参与，编制环评报告表的风电项目要组织公众调查，收集公众调查意见。</w:t>
                  </w:r>
                </w:p>
              </w:tc>
              <w:tc>
                <w:tcPr>
                  <w:tcW w:w="1787"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本次环评严格按照《环境影响评价公众参与办法》（生态环境部令第4号）要求，开展公众参与信息公示、意见收集等相关工作，程序合规、资料完备。</w:t>
                  </w:r>
                </w:p>
              </w:tc>
              <w:tc>
                <w:tcPr>
                  <w:tcW w:w="4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bl>
          <w:p>
            <w:pPr>
              <w:adjustRightInd w:val="0"/>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综上分析，本项目在开展前期工作的过程中严格按照通知中的要求对工程进行优化布置，并拟定合理可行的避让保护措施，优化后最大程度减缓了工程建设的不良环境影响，与通知要求是相符的。因此，项目工程建设符合云环发〔2014〕50号文相关要求。</w:t>
            </w:r>
          </w:p>
          <w:p>
            <w:pPr>
              <w:adjustRightInd w:val="0"/>
              <w:snapToGrid w:val="0"/>
              <w:spacing w:line="360" w:lineRule="auto"/>
              <w:ind w:firstLine="482"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八、与国家林业和草原局《关于规范风电场项目建设使用林地的通知》（林资发〔2019〕17号）的符合性分析</w:t>
            </w:r>
          </w:p>
          <w:p>
            <w:pPr>
              <w:autoSpaceDE w:val="0"/>
              <w:autoSpaceDN w:val="0"/>
              <w:adjustRightInd w:val="0"/>
              <w:snapToGrid w:val="0"/>
              <w:spacing w:line="360" w:lineRule="auto"/>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2026年1月22日，国家林业和草原局 国家能源局印发了</w:t>
            </w:r>
            <w:bookmarkStart w:id="10" w:name="OLE_LINK2"/>
            <w:r>
              <w:rPr>
                <w:rFonts w:hint="eastAsia" w:ascii="仿宋" w:hAnsi="仿宋" w:eastAsia="仿宋" w:cs="仿宋"/>
                <w:color w:val="000000" w:themeColor="text1"/>
                <w:sz w:val="24"/>
                <w:highlight w:val="none"/>
                <w:lang w:val="en-US" w:eastAsia="zh-CN"/>
                <w14:textFill>
                  <w14:solidFill>
                    <w14:schemeClr w14:val="tx1"/>
                  </w14:solidFill>
                </w14:textFill>
              </w:rPr>
              <w:t>《关于支持风电开发建设规范使用林地草地有关工作的通知》</w:t>
            </w:r>
            <w:bookmarkEnd w:id="10"/>
            <w:r>
              <w:rPr>
                <w:rFonts w:hint="eastAsia" w:ascii="仿宋" w:hAnsi="仿宋" w:eastAsia="仿宋" w:cs="仿宋"/>
                <w:color w:val="000000" w:themeColor="text1"/>
                <w:sz w:val="24"/>
                <w:highlight w:val="none"/>
                <w:lang w:val="en-US" w:eastAsia="zh-CN"/>
                <w14:textFill>
                  <w14:solidFill>
                    <w14:schemeClr w14:val="tx1"/>
                  </w14:solidFill>
                </w14:textFill>
              </w:rPr>
              <w:t>（林资发〔2026〕6号），文件要求“本通知下发之前，已核准(备案)新建或改扩建的风电场项目使用草地的，可按照核准(备案)时用地预审意见执行，不得扩大项目使用草地面积；已经通过用地预审，但项目未核准(备案)的，按本通知规定执行。”</w:t>
            </w:r>
            <w:r>
              <w:rPr>
                <w:rFonts w:hint="eastAsia" w:ascii="仿宋" w:hAnsi="仿宋" w:eastAsia="仿宋" w:cs="仿宋"/>
                <w:color w:val="000000" w:themeColor="text1"/>
                <w:sz w:val="24"/>
                <w:highlight w:val="none"/>
                <w:lang w:val="en-US" w:eastAsia="zh-CN"/>
                <w14:textFill>
                  <w14:solidFill>
                    <w14:schemeClr w14:val="tx1"/>
                  </w14:solidFill>
                </w14:textFill>
              </w:rPr>
              <w:t>本项目于2026年XX月XX日取得</w:t>
            </w:r>
            <w:r>
              <w:rPr>
                <w:rFonts w:hint="default" w:ascii="仿宋" w:hAnsi="仿宋" w:eastAsia="仿宋" w:cs="仿宋"/>
                <w:color w:val="000000" w:themeColor="text1"/>
                <w:sz w:val="24"/>
                <w:highlight w:val="none"/>
                <w:lang w:val="en-US" w:eastAsia="zh-CN"/>
                <w14:textFill>
                  <w14:solidFill>
                    <w14:schemeClr w14:val="tx1"/>
                  </w14:solidFill>
                </w14:textFill>
              </w:rPr>
              <w:t>《云南省发展和改革委员会关于</w:t>
            </w:r>
            <w:r>
              <w:rPr>
                <w:rFonts w:hint="eastAsia" w:ascii="仿宋" w:hAnsi="仿宋" w:eastAsia="仿宋" w:cs="仿宋"/>
                <w:color w:val="000000" w:themeColor="text1"/>
                <w:sz w:val="24"/>
                <w:szCs w:val="24"/>
                <w:lang w:val="en-US" w:eastAsia="zh-CN"/>
                <w14:textFill>
                  <w14:solidFill>
                    <w14:schemeClr w14:val="tx1"/>
                  </w14:solidFill>
                </w14:textFill>
              </w:rPr>
              <w:t>“千乡万村驭风行动”莲峰村项目</w:t>
            </w:r>
            <w:r>
              <w:rPr>
                <w:rFonts w:hint="default" w:ascii="仿宋" w:hAnsi="仿宋" w:eastAsia="仿宋" w:cs="仿宋"/>
                <w:color w:val="000000" w:themeColor="text1"/>
                <w:sz w:val="24"/>
                <w:highlight w:val="none"/>
                <w:lang w:val="en-US" w:eastAsia="zh-CN"/>
                <w14:textFill>
                  <w14:solidFill>
                    <w14:schemeClr w14:val="tx1"/>
                  </w14:solidFill>
                </w14:textFill>
              </w:rPr>
              <w:t>核准的批复》（云发改能源〔202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default"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XX</w:t>
            </w:r>
            <w:r>
              <w:rPr>
                <w:rFonts w:hint="default" w:ascii="仿宋" w:hAnsi="仿宋" w:eastAsia="仿宋" w:cs="仿宋"/>
                <w:color w:val="000000" w:themeColor="text1"/>
                <w:sz w:val="24"/>
                <w:highlight w:val="none"/>
                <w:lang w:val="en-US" w:eastAsia="zh-CN"/>
                <w14:textFill>
                  <w14:solidFill>
                    <w14:schemeClr w14:val="tx1"/>
                  </w14:solidFill>
                </w14:textFill>
              </w:rPr>
              <w:t>号）项目代码：</w:t>
            </w:r>
            <w:r>
              <w:rPr>
                <w:rFonts w:hint="eastAsia" w:ascii="仿宋" w:hAnsi="仿宋" w:eastAsia="仿宋" w:cs="仿宋"/>
                <w:color w:val="000000" w:themeColor="text1"/>
                <w:sz w:val="24"/>
                <w:highlight w:val="none"/>
                <w:lang w:val="en-US" w:eastAsia="zh-CN"/>
                <w14:textFill>
                  <w14:solidFill>
                    <w14:schemeClr w14:val="tx1"/>
                  </w14:solidFill>
                </w14:textFill>
              </w:rPr>
              <w:t>XX</w:t>
            </w:r>
            <w:r>
              <w:rPr>
                <w:rFonts w:hint="default"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XXX</w:t>
            </w:r>
            <w:r>
              <w:rPr>
                <w:rFonts w:hint="default"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X</w:t>
            </w:r>
            <w:r>
              <w:rPr>
                <w:rFonts w:hint="default"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X</w:t>
            </w:r>
            <w:r>
              <w:rPr>
                <w:rFonts w:hint="default"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XX。</w:t>
            </w:r>
            <w:r>
              <w:rPr>
                <w:rFonts w:hint="eastAsia" w:ascii="仿宋" w:hAnsi="仿宋" w:eastAsia="仿宋" w:cs="仿宋"/>
                <w:color w:val="000000" w:themeColor="text1"/>
                <w:sz w:val="24"/>
                <w:highlight w:val="none"/>
                <w:lang w:val="en-US" w:eastAsia="zh-CN"/>
                <w14:textFill>
                  <w14:solidFill>
                    <w14:schemeClr w14:val="tx1"/>
                  </w14:solidFill>
                </w14:textFill>
              </w:rPr>
              <w:t>故本次评价使用林地草地符合性按照《国家林业和草原局关于支持风电开发建设规范使用林地草地有关工作的通知》（林资发〔2019〕17号）的相关要求执行。</w:t>
            </w:r>
          </w:p>
          <w:p>
            <w:pPr>
              <w:autoSpaceDE w:val="0"/>
              <w:autoSpaceDN w:val="0"/>
              <w:adjustRightInd w:val="0"/>
              <w:snapToGrid w:val="0"/>
              <w:spacing w:line="360" w:lineRule="auto"/>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根据“林资发〔2019〕17号”，</w:t>
            </w:r>
            <w:r>
              <w:rPr>
                <w:rFonts w:hint="default" w:ascii="仿宋" w:hAnsi="仿宋" w:eastAsia="仿宋" w:cs="仿宋"/>
                <w:color w:val="000000" w:themeColor="text1"/>
                <w:sz w:val="24"/>
                <w:highlight w:val="none"/>
                <w:lang w:val="en-US" w:eastAsia="zh-CN"/>
                <w14:textFill>
                  <w14:solidFill>
                    <w14:schemeClr w14:val="tx1"/>
                  </w14:solidFill>
                </w14:textFill>
              </w:rPr>
              <w:t>风电场建设使用林地禁建区域为：严格保护生态功能重要、生态脆弱敏感地区的林地。自然遗产地、国家公园、自然保护区、森林公园、湿地公园、地质公园、风景名胜区、鸟类主要迁徙通道和迁徙地等区域以及沿海基干林带和消浪林带。风电场建设使用林地限制范围为：风电场建设应当节约集约使用林地。风机基础、施工和检修道路、</w:t>
            </w:r>
            <w:r>
              <w:rPr>
                <w:rFonts w:hint="eastAsia" w:ascii="仿宋" w:hAnsi="仿宋" w:eastAsia="仿宋" w:cs="仿宋"/>
                <w:color w:val="000000" w:themeColor="text1"/>
                <w:sz w:val="24"/>
                <w:highlight w:val="none"/>
                <w:lang w:val="en-US" w:eastAsia="zh-CN"/>
                <w14:textFill>
                  <w14:solidFill>
                    <w14:schemeClr w14:val="tx1"/>
                  </w14:solidFill>
                </w14:textFill>
              </w:rPr>
              <w:t>开关站</w:t>
            </w:r>
            <w:r>
              <w:rPr>
                <w:rFonts w:hint="default" w:ascii="仿宋" w:hAnsi="仿宋" w:eastAsia="仿宋" w:cs="仿宋"/>
                <w:color w:val="000000" w:themeColor="text1"/>
                <w:sz w:val="24"/>
                <w:highlight w:val="none"/>
                <w:lang w:val="en-US" w:eastAsia="zh-CN"/>
                <w14:textFill>
                  <w14:solidFill>
                    <w14:schemeClr w14:val="tx1"/>
                  </w14:solidFill>
                </w14:textFill>
              </w:rPr>
              <w:t>、集电线路等，禁止占用天然乔木林（竹林）地、年降雨量400毫米以下区域的、一级国家级公益林地有林地和二级国家级公益林中的有林地。强化风电场道路建设和临时用地管理：风电场施工和检修道路，应尽可能利用现有森林防火道路、林区道路、乡村道路等道路，在其基础上扩建的风电场道路原则上不得改变现有道路性质。风电场新建配套道路应与风电场一同办理使用林地手续，风电场配套道路要严格控制道路宽度，提高标准，合理建设排水沟、过水涵洞、挡土墙等设施；严格按照设计规范施工，禁止强推强挖式放坡施工，防止废弃砂石任意放置和随意滚落，同步实施水土保持和恢复林业生产条件的措施。吊装平台、施工道路、弃渣场、集电线路等临时占用林地的，应在临时占用林地期满后一年内恢复林业生产条件，并及时恢复植被。</w:t>
            </w:r>
          </w:p>
          <w:p>
            <w:pPr>
              <w:autoSpaceDE w:val="0"/>
              <w:autoSpaceDN w:val="0"/>
              <w:adjustRightInd w:val="0"/>
              <w:snapToGrid w:val="0"/>
              <w:spacing w:line="360" w:lineRule="auto"/>
              <w:ind w:firstLine="480" w:firstLineChars="200"/>
              <w:rPr>
                <w:rFonts w:hint="default"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本项目与《国家林业和草原局关于规范风电场项目建设使用林地的通知》</w:t>
            </w:r>
            <w:r>
              <w:rPr>
                <w:rFonts w:hint="default" w:ascii="仿宋" w:hAnsi="仿宋" w:eastAsia="仿宋" w:cs="仿宋"/>
                <w:color w:val="000000" w:themeColor="text1"/>
                <w:sz w:val="24"/>
                <w:highlight w:val="none"/>
                <w14:textFill>
                  <w14:solidFill>
                    <w14:schemeClr w14:val="tx1"/>
                  </w14:solidFill>
                </w14:textFill>
              </w:rPr>
              <w:t>的相符性分析详见下表。</w:t>
            </w:r>
          </w:p>
          <w:p>
            <w:pPr>
              <w:autoSpaceDE w:val="0"/>
              <w:autoSpaceDN w:val="0"/>
              <w:adjustRightInd w:val="0"/>
              <w:snapToGrid w:val="0"/>
              <w:spacing w:line="360" w:lineRule="auto"/>
              <w:jc w:val="center"/>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表1-</w:t>
            </w:r>
            <w:r>
              <w:rPr>
                <w:rFonts w:hint="eastAsia" w:ascii="仿宋" w:hAnsi="仿宋" w:eastAsia="仿宋" w:cs="仿宋"/>
                <w:b/>
                <w:bCs/>
                <w:color w:val="000000" w:themeColor="text1"/>
                <w:kern w:val="0"/>
                <w:szCs w:val="21"/>
                <w:highlight w:val="none"/>
                <w:lang w:val="en-US" w:eastAsia="zh-CN"/>
                <w14:textFill>
                  <w14:solidFill>
                    <w14:schemeClr w14:val="tx1"/>
                  </w14:solidFill>
                </w14:textFill>
              </w:rPr>
              <w:t>9</w:t>
            </w:r>
            <w:r>
              <w:rPr>
                <w:rFonts w:hint="eastAsia" w:ascii="仿宋" w:hAnsi="仿宋" w:eastAsia="仿宋" w:cs="仿宋"/>
                <w:b/>
                <w:bCs/>
                <w:color w:val="000000" w:themeColor="text1"/>
                <w:kern w:val="0"/>
                <w:szCs w:val="21"/>
                <w:highlight w:val="none"/>
                <w14:textFill>
                  <w14:solidFill>
                    <w14:schemeClr w14:val="tx1"/>
                  </w14:solidFill>
                </w14:textFill>
              </w:rPr>
              <w:t>与《国家林业和草原局关于规范风电场项目建设使用林地的通知》相符性分析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3550"/>
              <w:gridCol w:w="2959"/>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93" w:type="pct"/>
                  <w:gridSpan w:val="2"/>
                  <w:tcBorders>
                    <w:tl2br w:val="nil"/>
                    <w:tr2bl w:val="nil"/>
                  </w:tcBorders>
                  <w:noWrap w:val="0"/>
                  <w:vAlign w:val="center"/>
                </w:tcPr>
                <w:p>
                  <w:pPr>
                    <w:pStyle w:val="61"/>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国家林业和草原局关于规范风电场项目建设使用林地的通知</w:t>
                  </w:r>
                  <w:r>
                    <w:rPr>
                      <w:rFonts w:hint="eastAsia" w:ascii="仿宋" w:hAnsi="仿宋" w:eastAsia="仿宋" w:cs="仿宋"/>
                      <w:color w:val="000000" w:themeColor="text1"/>
                      <w:sz w:val="21"/>
                      <w:szCs w:val="21"/>
                      <w:highlight w:val="none"/>
                      <w:lang w:val="en-US" w:eastAsia="zh-CN"/>
                      <w14:textFill>
                        <w14:solidFill>
                          <w14:schemeClr w14:val="tx1"/>
                        </w14:solidFill>
                      </w14:textFill>
                    </w:rPr>
                    <w:t>要求</w:t>
                  </w:r>
                </w:p>
              </w:tc>
              <w:tc>
                <w:tcPr>
                  <w:tcW w:w="1868" w:type="pct"/>
                  <w:tcBorders>
                    <w:tl2br w:val="nil"/>
                    <w:tr2bl w:val="nil"/>
                  </w:tcBorders>
                  <w:noWrap w:val="0"/>
                  <w:vAlign w:val="center"/>
                </w:tcPr>
                <w:p>
                  <w:pPr>
                    <w:pStyle w:val="61"/>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本项目情况</w:t>
                  </w:r>
                </w:p>
              </w:tc>
              <w:tc>
                <w:tcPr>
                  <w:tcW w:w="437" w:type="pct"/>
                  <w:tcBorders>
                    <w:tl2br w:val="nil"/>
                    <w:tr2bl w:val="nil"/>
                  </w:tcBorders>
                  <w:noWrap w:val="0"/>
                  <w:vAlign w:val="center"/>
                </w:tcPr>
                <w:p>
                  <w:pPr>
                    <w:pStyle w:val="61"/>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风电场建设使用林地禁建区域</w:t>
                  </w:r>
                </w:p>
              </w:tc>
              <w:tc>
                <w:tcPr>
                  <w:tcW w:w="2241"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严格保护生态功能重要、生态脆弱敏感区域的林地。自然遗产地、国家公园、自然保护区、森林公园、湿地公园、地质公园、风景名胜区、鸟类主要迁徙通道和迁徙地等区域以及沿海基干林带和消浪林带，为风电场项目禁止建设区域。</w:t>
                  </w:r>
                </w:p>
              </w:tc>
              <w:tc>
                <w:tcPr>
                  <w:tcW w:w="1868"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both"/>
                    <w:textAlignment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本项目位于弥渡县莲峰村老鸦山，场址不涉及自然遗产地、国家公园、自然保护区、森林公园、湿地公园、地质公园、风景名胜区等禁建区域，也不位于鸟类主要迁徙通道和迁徙地范围内，不属于禁止建设区域。</w:t>
                  </w:r>
                </w:p>
              </w:tc>
              <w:tc>
                <w:tcPr>
                  <w:tcW w:w="437" w:type="pct"/>
                  <w:tcBorders>
                    <w:tl2br w:val="nil"/>
                    <w:tr2bl w:val="nil"/>
                  </w:tcBorders>
                  <w:noWrap w:val="0"/>
                  <w:vAlign w:val="center"/>
                </w:tcPr>
                <w:p>
                  <w:pPr>
                    <w:spacing w:line="240" w:lineRule="auto"/>
                    <w:ind w:firstLine="0" w:firstLineChars="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风电场建设使用林地限制范围</w:t>
                  </w:r>
                </w:p>
              </w:tc>
              <w:tc>
                <w:tcPr>
                  <w:tcW w:w="2241"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风电场建设应当节约集约使用林地。风机基础、施工和检修道路、</w:t>
                  </w:r>
                  <w:r>
                    <w:rPr>
                      <w:rFonts w:hint="eastAsia" w:ascii="仿宋" w:hAnsi="仿宋" w:eastAsia="仿宋" w:cs="仿宋"/>
                      <w:color w:val="000000" w:themeColor="text1"/>
                      <w:sz w:val="21"/>
                      <w:szCs w:val="21"/>
                      <w:highlight w:val="none"/>
                      <w:lang w:eastAsia="zh-CN"/>
                      <w14:textFill>
                        <w14:solidFill>
                          <w14:schemeClr w14:val="tx1"/>
                        </w14:solidFill>
                      </w14:textFill>
                    </w:rPr>
                    <w:t>开关站</w:t>
                  </w:r>
                  <w:r>
                    <w:rPr>
                      <w:rFonts w:hint="eastAsia" w:ascii="仿宋" w:hAnsi="仿宋" w:eastAsia="仿宋" w:cs="仿宋"/>
                      <w:color w:val="000000" w:themeColor="text1"/>
                      <w:sz w:val="21"/>
                      <w:szCs w:val="21"/>
                      <w:highlight w:val="none"/>
                      <w14:textFill>
                        <w14:solidFill>
                          <w14:schemeClr w14:val="tx1"/>
                        </w14:solidFill>
                      </w14:textFill>
                    </w:rPr>
                    <w:t>、集电线路等，禁止占用天然乔木林地、年降雨量400mm以下区域的有林地、一级国家公益林地和二级国家公益林中的有林地。</w:t>
                  </w:r>
                </w:p>
              </w:tc>
              <w:tc>
                <w:tcPr>
                  <w:tcW w:w="1868"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both"/>
                    <w:textAlignment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项目占用林地均为一般灌木林地，不占用天然乔木林地、一级国家公益林、二级国家公益林中的有林地；项目所在区域年均降雨量约 800mm，不涉及年降雨量 400mm 以下区域，符合限制管控要求。</w:t>
                  </w:r>
                </w:p>
              </w:tc>
              <w:tc>
                <w:tcPr>
                  <w:tcW w:w="437"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强化风电场道路建设和临时用地管理</w:t>
                  </w:r>
                </w:p>
              </w:tc>
              <w:tc>
                <w:tcPr>
                  <w:tcW w:w="2241"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both"/>
                    <w:textAlignment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风电场施工和检修道路，应尽可能利用现有森林防火道路、林区道路、乡村道路等道路，在其基础上扩建的风电场道路原则上不得改变现有道路性质。风电场新建配套道路应与风电场一同办理使用林地手续，风电场配套道路要严格控制道路宽度，提高标准，合理建设排水沟、过水涵洞、挡土墙等设施；严格按照设计规范施工，禁止强推强挖式放坡施工，防止废弃砂石任意放置和随意滚落，同步实施水土保持和恢复林业生产条件的措施。吊装平台、施工道路、弃渣场、集电线路等临时占用林地的，应在临时占用林地期满后一年内恢复林业生产条件，并及时恢复植被。</w:t>
                  </w:r>
                </w:p>
              </w:tc>
              <w:tc>
                <w:tcPr>
                  <w:tcW w:w="1868"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both"/>
                    <w:textAlignment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项目优先利用现有乡村道路及森林防火通道改扩建场内道路，严格控制道路宽度，配套建设排水沟、挡土墙等水土保持措施，规范弃渣管理；施工结束后对吊装平台、临时道路、弃渣场等临时占地及时实施植被恢复，恢复林业生产条件。</w:t>
                  </w:r>
                </w:p>
              </w:tc>
              <w:tc>
                <w:tcPr>
                  <w:tcW w:w="437" w:type="pct"/>
                  <w:tcBorders>
                    <w:tl2br w:val="nil"/>
                    <w:tr2bl w:val="nil"/>
                  </w:tcBorders>
                  <w:noWrap w:val="0"/>
                  <w:vAlign w:val="center"/>
                </w:tcPr>
                <w:p>
                  <w:pPr>
                    <w:pStyle w:val="62"/>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firstLine="0" w:firstLineChars="0"/>
                    <w:jc w:val="center"/>
                    <w:textAlignment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bl>
          <w:p>
            <w:pPr>
              <w:autoSpaceDE w:val="0"/>
              <w:autoSpaceDN w:val="0"/>
              <w:adjustRightInd w:val="0"/>
              <w:snapToGrid w:val="0"/>
              <w:spacing w:line="360" w:lineRule="auto"/>
              <w:ind w:firstLine="480" w:firstLineChars="200"/>
              <w:rPr>
                <w:rFonts w:hint="default"/>
                <w:color w:val="000000" w:themeColor="text1"/>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综上所述，项目的建设满足《国家林业和草原局关于规范风电场项目建设使用林地的通知》（林资发</w:t>
            </w:r>
            <w:r>
              <w:rPr>
                <w:rFonts w:hint="eastAsia" w:ascii="仿宋" w:hAnsi="仿宋" w:eastAsia="仿宋" w:cs="仿宋"/>
                <w:color w:val="000000" w:themeColor="text1"/>
                <w:sz w:val="24"/>
                <w:highlight w:val="none"/>
                <w:lang w:eastAsia="zh-CN"/>
                <w14:textFill>
                  <w14:solidFill>
                    <w14:schemeClr w14:val="tx1"/>
                  </w14:solidFill>
                </w14:textFill>
              </w:rPr>
              <w:t>〔2019〕17号</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的</w:t>
            </w:r>
            <w:r>
              <w:rPr>
                <w:rFonts w:hint="eastAsia" w:ascii="仿宋" w:hAnsi="仿宋" w:eastAsia="仿宋" w:cs="仿宋"/>
                <w:color w:val="000000" w:themeColor="text1"/>
                <w:sz w:val="24"/>
                <w:highlight w:val="none"/>
                <w:lang w:val="en-US" w:eastAsia="zh-CN"/>
                <w14:textFill>
                  <w14:solidFill>
                    <w14:schemeClr w14:val="tx1"/>
                  </w14:solidFill>
                </w14:textFill>
              </w:rPr>
              <w:t>要求</w:t>
            </w:r>
            <w:r>
              <w:rPr>
                <w:rFonts w:hint="eastAsia" w:ascii="仿宋" w:hAnsi="仿宋" w:eastAsia="仿宋" w:cs="仿宋"/>
                <w:color w:val="000000" w:themeColor="text1"/>
                <w:sz w:val="24"/>
                <w:highlight w:val="none"/>
                <w14:textFill>
                  <w14:solidFill>
                    <w14:schemeClr w14:val="tx1"/>
                  </w14:solidFill>
                </w14:textFill>
              </w:rPr>
              <w:t>。</w:t>
            </w:r>
          </w:p>
          <w:p>
            <w:pPr>
              <w:adjustRightInd w:val="0"/>
              <w:snapToGrid w:val="0"/>
              <w:spacing w:line="360" w:lineRule="auto"/>
              <w:ind w:firstLine="482"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九、与《云南省发展和改革委员会 云南省能源局关于印发云南省在适宜地区适度开发利用新能源规划及配套文件的通知》的符合性分析</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云南省发展和改革委员会、云南省能源局于2020年9月30日发布《云南省发展和改革委员会云南省能源局关于印发云南省在适宜地区适度开发利用新能源规划及配套文件的通知》，项目与该文件中相关规划内容的符合性分析见表1-</w:t>
            </w: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w:t>
            </w:r>
          </w:p>
          <w:p>
            <w:pPr>
              <w:autoSpaceDE w:val="0"/>
              <w:autoSpaceDN w:val="0"/>
              <w:adjustRightInd w:val="0"/>
              <w:snapToGrid w:val="0"/>
              <w:spacing w:line="360" w:lineRule="auto"/>
              <w:jc w:val="center"/>
              <w:rPr>
                <w:rFonts w:hint="default" w:ascii="仿宋" w:hAnsi="仿宋" w:eastAsia="仿宋" w:cs="仿宋"/>
                <w:b/>
                <w:bCs/>
                <w:color w:val="000000" w:themeColor="text1"/>
                <w:kern w:val="0"/>
                <w:szCs w:val="21"/>
                <w:highlight w:val="none"/>
                <w14:textFill>
                  <w14:solidFill>
                    <w14:schemeClr w14:val="tx1"/>
                  </w14:solidFill>
                </w14:textFill>
              </w:rPr>
            </w:pPr>
            <w:r>
              <w:rPr>
                <w:rFonts w:hint="default" w:ascii="仿宋" w:hAnsi="仿宋" w:eastAsia="仿宋" w:cs="仿宋"/>
                <w:b/>
                <w:bCs/>
                <w:color w:val="000000" w:themeColor="text1"/>
                <w:kern w:val="0"/>
                <w:szCs w:val="21"/>
                <w:highlight w:val="none"/>
                <w14:textFill>
                  <w14:solidFill>
                    <w14:schemeClr w14:val="tx1"/>
                  </w14:solidFill>
                </w14:textFill>
              </w:rPr>
              <w:t>表1-</w:t>
            </w:r>
            <w:r>
              <w:rPr>
                <w:rFonts w:hint="eastAsia" w:ascii="仿宋" w:hAnsi="仿宋" w:eastAsia="仿宋" w:cs="仿宋"/>
                <w:b/>
                <w:bCs/>
                <w:color w:val="000000" w:themeColor="text1"/>
                <w:kern w:val="0"/>
                <w:szCs w:val="21"/>
                <w:highlight w:val="none"/>
                <w:lang w:val="en-US" w:eastAsia="zh-CN"/>
                <w14:textFill>
                  <w14:solidFill>
                    <w14:schemeClr w14:val="tx1"/>
                  </w14:solidFill>
                </w14:textFill>
              </w:rPr>
              <w:t>10</w:t>
            </w:r>
            <w:r>
              <w:rPr>
                <w:rFonts w:hint="default" w:ascii="仿宋" w:hAnsi="仿宋" w:eastAsia="仿宋" w:cs="仿宋"/>
                <w:b/>
                <w:bCs/>
                <w:color w:val="000000" w:themeColor="text1"/>
                <w:kern w:val="0"/>
                <w:szCs w:val="21"/>
                <w:highlight w:val="none"/>
                <w14:textFill>
                  <w14:solidFill>
                    <w14:schemeClr w14:val="tx1"/>
                  </w14:solidFill>
                </w14:textFill>
              </w:rPr>
              <w:t xml:space="preserve">  与《云南省发展和改革委员会 云南省能源局关于印发云南省在适宜地区适度开发利用新能源规划及配套文件的通知》的符合性分析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56"/>
              <w:gridCol w:w="3173"/>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章节</w:t>
                  </w:r>
                </w:p>
              </w:tc>
              <w:tc>
                <w:tcPr>
                  <w:tcW w:w="1802"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相关内容</w:t>
                  </w:r>
                </w:p>
              </w:tc>
              <w:tc>
                <w:tcPr>
                  <w:tcW w:w="2003"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项目情况</w:t>
                  </w:r>
                </w:p>
              </w:tc>
              <w:tc>
                <w:tcPr>
                  <w:tcW w:w="497"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选址原则</w:t>
                  </w:r>
                </w:p>
              </w:tc>
              <w:tc>
                <w:tcPr>
                  <w:tcW w:w="1802"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选址应符合生态环境保护政策。应避让自然保护区、国家公园、风景名胜区、文物古迹、湿地保护区、饮用水水源保护区、集中式饮用水水源地、生物多样性保护区域、特殊生态环境及特有物种保护区域、鸟类迁徙重要通道及其栖息地、民俗保护区等生态保护红线和生态敏感区域。</w:t>
                  </w:r>
                </w:p>
              </w:tc>
              <w:tc>
                <w:tcPr>
                  <w:tcW w:w="2003"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不占用永久基本农田，不涉及生态保护红线，不在补充耕地项目范围内；不涉及自然保护地、世界自然遗产地、野生动物栖息地、珍稀植物原生境、天然林等生态敏感区；落实环保、水保、生态保护措施后，对环境影响可控。</w:t>
                  </w:r>
                </w:p>
              </w:tc>
              <w:tc>
                <w:tcPr>
                  <w:tcW w:w="49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bookmarkStart w:id="11" w:name="OLE_LINK215"/>
                  <w:r>
                    <w:rPr>
                      <w:rFonts w:hint="eastAsia" w:ascii="仿宋" w:hAnsi="仿宋" w:eastAsia="仿宋" w:cs="仿宋"/>
                      <w:color w:val="000000" w:themeColor="text1"/>
                      <w:sz w:val="21"/>
                      <w:szCs w:val="21"/>
                      <w14:textFill>
                        <w14:solidFill>
                          <w14:schemeClr w14:val="tx1"/>
                        </w14:solidFill>
                      </w14:textFill>
                    </w:rPr>
                    <w:t>相符</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69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802"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项目选址应符合国土用地政策。禁止占用基本农田，应避让坝区，应优先使用石漠化、荒漠化土地和未利用土地。占用一般耕地的农光互补</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发电项目，应抬高</w:t>
                  </w:r>
                  <w:r>
                    <w:rPr>
                      <w:rFonts w:hint="eastAsia" w:ascii="仿宋" w:hAnsi="仿宋" w:eastAsia="仿宋" w:cs="仿宋"/>
                      <w:color w:val="000000" w:themeColor="text1"/>
                      <w:sz w:val="21"/>
                      <w:szCs w:val="21"/>
                      <w:lang w:eastAsia="zh-CN"/>
                      <w14:textFill>
                        <w14:solidFill>
                          <w14:schemeClr w14:val="tx1"/>
                        </w14:solidFill>
                      </w14:textFill>
                    </w:rPr>
                    <w:t>风机机组</w:t>
                  </w:r>
                  <w:r>
                    <w:rPr>
                      <w:rFonts w:hint="eastAsia" w:ascii="仿宋" w:hAnsi="仿宋" w:eastAsia="仿宋" w:cs="仿宋"/>
                      <w:color w:val="000000" w:themeColor="text1"/>
                      <w:sz w:val="21"/>
                      <w:szCs w:val="21"/>
                      <w14:textFill>
                        <w14:solidFill>
                          <w14:schemeClr w14:val="tx1"/>
                        </w14:solidFill>
                      </w14:textFill>
                    </w:rPr>
                    <w:t>安装高度，不改变土地使用性质。</w:t>
                  </w:r>
                </w:p>
              </w:tc>
              <w:tc>
                <w:tcPr>
                  <w:tcW w:w="2003" w:type="pct"/>
                  <w:noWrap w:val="0"/>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本项目为风力发电项目，不占用基本农田，场址用地以林地、草地为主，工程建设不改变土地利用性质，符合国土用地政策。</w:t>
                  </w:r>
                </w:p>
              </w:tc>
              <w:tc>
                <w:tcPr>
                  <w:tcW w:w="49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802"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项目选址应符合林业用地政策。风电项目应避让天然乔木林地、年降雨量400毫米以下区域的有林地、国家一级公益林地和国家二级公益林中的有林地。</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项目应避让天然林保护工程区和天然林地，</w:t>
                  </w: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电池组件阵列应避让有林地、疏林地、未成林造林地、采伐边地、火烧迹地，以及年降雨量400毫米以下区域覆盖度高于30%和年降雨量400毫米以上区域覆盖度高于50%的灌木林地。</w:t>
                  </w:r>
                </w:p>
              </w:tc>
              <w:tc>
                <w:tcPr>
                  <w:tcW w:w="2003" w:type="pct"/>
                  <w:noWrap w:val="0"/>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项目不占用天然乔木林地、国家一级公益林、二级公益林中的有林地，不涉及年降雨量400mm以下区域有林地，选址完全符合林业用地管控要求。</w:t>
                  </w:r>
                </w:p>
              </w:tc>
              <w:tc>
                <w:tcPr>
                  <w:tcW w:w="49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802"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选址应符合国土空间规划、实现景观保护。应远离滇中城市群规划的主体城市、一般城市和新兴城镇，远离城市及城镇的面山区域。应远离金沙江及长江一级支流岸线保护范围。风电项目风机布置位置应避让高速公路、高速铁路的可视区域。</w:t>
                  </w:r>
                </w:p>
              </w:tc>
              <w:tc>
                <w:tcPr>
                  <w:tcW w:w="2003"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项目位于弥渡县莲峰村老鸦山，不属于滇中城市群城镇及面山区域；不涉及金沙江及长江一级支流岸线保护范围，风机布置避让交通干线可视区域，符合国土空间规划与景观保护要求。</w:t>
                  </w:r>
                </w:p>
              </w:tc>
              <w:tc>
                <w:tcPr>
                  <w:tcW w:w="49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环境保护</w:t>
                  </w:r>
                </w:p>
              </w:tc>
              <w:tc>
                <w:tcPr>
                  <w:tcW w:w="1802"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电磁辐射防护:电气设备设计必须考虑防磁、防辐射要求，减少电磁辐射对环境的影响。电气设备及设施布置应满足电磁辐射对环境影响的防护距离要求。</w:t>
                  </w:r>
                </w:p>
              </w:tc>
              <w:tc>
                <w:tcPr>
                  <w:tcW w:w="2003"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项目电气设备在设计阶段已采取防磁、防辐射措施，35kV开关站周边40m内无敏感保护目标，项目电压等级低，电磁环境影响较小。</w:t>
                  </w:r>
                </w:p>
              </w:tc>
              <w:tc>
                <w:tcPr>
                  <w:tcW w:w="49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802"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水土及林地保护。规划项目实施过程中，应严格落实水保、环保措施，防治水土流失，提高原生植物移植率，确保水保、环保及植被恢复工程与主体工程“</w:t>
                  </w:r>
                  <w:bookmarkStart w:id="12" w:name="OLE_LINK216"/>
                  <w:r>
                    <w:rPr>
                      <w:rFonts w:hint="eastAsia" w:ascii="仿宋" w:hAnsi="仿宋" w:eastAsia="仿宋" w:cs="仿宋"/>
                      <w:color w:val="000000" w:themeColor="text1"/>
                      <w:sz w:val="21"/>
                      <w:szCs w:val="21"/>
                      <w14:textFill>
                        <w14:solidFill>
                          <w14:schemeClr w14:val="tx1"/>
                        </w14:solidFill>
                      </w14:textFill>
                    </w:rPr>
                    <w:t>三同时”</w:t>
                  </w:r>
                  <w:bookmarkEnd w:id="12"/>
                  <w:r>
                    <w:rPr>
                      <w:rFonts w:hint="eastAsia" w:ascii="仿宋" w:hAnsi="仿宋" w:eastAsia="仿宋" w:cs="仿宋"/>
                      <w:color w:val="000000" w:themeColor="text1"/>
                      <w:sz w:val="21"/>
                      <w:szCs w:val="21"/>
                      <w14:textFill>
                        <w14:solidFill>
                          <w14:schemeClr w14:val="tx1"/>
                        </w14:solidFill>
                      </w14:textFill>
                    </w:rPr>
                    <w:t>。</w:t>
                  </w:r>
                </w:p>
              </w:tc>
              <w:tc>
                <w:tcPr>
                  <w:tcW w:w="2003"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本次评价提出，项目实施过程中严格落实水保、环保措施，防治水土流失，严格落实水保、环保及植被恢复工程与主体工程“三同时”。</w:t>
                  </w:r>
                </w:p>
              </w:tc>
              <w:tc>
                <w:tcPr>
                  <w:tcW w:w="49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相符</w:t>
                  </w:r>
                </w:p>
              </w:tc>
            </w:tr>
          </w:tbl>
          <w:p>
            <w:pPr>
              <w:adjustRightInd w:val="0"/>
              <w:snapToGrid w:val="0"/>
              <w:spacing w:line="360" w:lineRule="auto"/>
              <w:ind w:firstLine="480" w:firstLineChars="200"/>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综上，项目与《云南省发展和改革委员会 云南省能源局关于印发云南省在适宜地区适度开发利用新能源规划及配套文件的通知》的相关规划要求相符。</w:t>
            </w:r>
          </w:p>
          <w:p>
            <w:pPr>
              <w:adjustRightInd w:val="0"/>
              <w:snapToGrid w:val="0"/>
              <w:spacing w:line="360" w:lineRule="auto"/>
              <w:ind w:firstLine="482" w:firstLineChars="200"/>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十、</w:t>
            </w:r>
            <w:r>
              <w:rPr>
                <w:rFonts w:hint="default" w:ascii="仿宋" w:hAnsi="仿宋" w:eastAsia="仿宋" w:cs="仿宋"/>
                <w:b/>
                <w:bCs/>
                <w:color w:val="000000" w:themeColor="text1"/>
                <w:sz w:val="24"/>
                <w:szCs w:val="24"/>
                <w:lang w:val="en-US" w:eastAsia="zh-CN"/>
                <w14:textFill>
                  <w14:solidFill>
                    <w14:schemeClr w14:val="tx1"/>
                  </w14:solidFill>
                </w14:textFill>
              </w:rPr>
              <w:t>与长江经济带发展负面清单符合性分析</w:t>
            </w:r>
          </w:p>
          <w:p>
            <w:pPr>
              <w:adjustRightInd w:val="0"/>
              <w:snapToGrid w:val="0"/>
              <w:spacing w:line="360" w:lineRule="auto"/>
              <w:ind w:firstLine="482"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b/>
                <w:bCs/>
                <w:color w:val="000000" w:themeColor="text1"/>
                <w:sz w:val="24"/>
                <w:szCs w:val="24"/>
                <w:lang w:val="en-US" w:eastAsia="zh-CN"/>
                <w14:textFill>
                  <w14:solidFill>
                    <w14:schemeClr w14:val="tx1"/>
                  </w14:solidFill>
                </w14:textFill>
              </w:rPr>
              <w:t>（1）与《长江经济带发展负面清单指南（试行，2022年版）》的符合性</w:t>
            </w:r>
          </w:p>
          <w:p>
            <w:pPr>
              <w:adjustRightInd w:val="0"/>
              <w:snapToGrid w:val="0"/>
              <w:spacing w:line="360" w:lineRule="auto"/>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2022年1月19日推动长江经济带发展领导小组办公室关于印发了《长江经济带发展负面清单指南（试行，2022年版）》的通知（长江办﹝2022﹞7号），根据指南要求，本项目与《长江经济带发展负面清单指南（试行，2022年版）》符合性分析见下表：</w:t>
            </w:r>
          </w:p>
          <w:p>
            <w:pPr>
              <w:spacing w:line="360" w:lineRule="auto"/>
              <w:jc w:val="center"/>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表</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1-11</w:t>
            </w:r>
            <w:r>
              <w:rPr>
                <w:rFonts w:hint="eastAsia" w:ascii="仿宋" w:hAnsi="仿宋" w:eastAsia="仿宋" w:cs="仿宋"/>
                <w:b/>
                <w:bCs/>
                <w:color w:val="000000" w:themeColor="text1"/>
                <w:sz w:val="21"/>
                <w:szCs w:val="21"/>
                <w:highlight w:val="none"/>
                <w:lang w:eastAsia="zh-CN"/>
                <w14:textFill>
                  <w14:solidFill>
                    <w14:schemeClr w14:val="tx1"/>
                  </w14:solidFill>
                </w14:textFill>
              </w:rPr>
              <w:t xml:space="preserve">  项目与《长江经济带发展负面清单指南（试行，2022年版）》符合性分析</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3"/>
              <w:gridCol w:w="2638"/>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《指南》要求</w:t>
                  </w:r>
                </w:p>
              </w:tc>
              <w:tc>
                <w:tcPr>
                  <w:tcW w:w="1665" w:type="pct"/>
                  <w:noWrap w:val="0"/>
                  <w:vAlign w:val="center"/>
                </w:tcPr>
                <w:p>
                  <w:pPr>
                    <w:adjustRightInd w:val="0"/>
                    <w:snapToGrid w:val="0"/>
                    <w:jc w:val="center"/>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项目情况</w:t>
                  </w:r>
                </w:p>
              </w:tc>
              <w:tc>
                <w:tcPr>
                  <w:tcW w:w="598" w:type="pct"/>
                  <w:noWrap w:val="0"/>
                  <w:vAlign w:val="center"/>
                </w:tcPr>
                <w:p>
                  <w:pPr>
                    <w:adjustRightInd w:val="0"/>
                    <w:snapToGrid w:val="0"/>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numPr>
                      <w:ilvl w:val="0"/>
                      <w:numId w:val="0"/>
                    </w:num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禁止建设不符合全国和省级港口布局规划以及港口总体</w:t>
                  </w:r>
                </w:p>
                <w:p>
                  <w:pPr>
                    <w:numPr>
                      <w:ilvl w:val="0"/>
                      <w:numId w:val="0"/>
                    </w:num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规划的码头项目，禁止建设不符合《长江干线过江通道布局规划》的过长江通道项目。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项目为风电建设项目，属于新能源开发项目，不涉及左列所禁止的项目。</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2.禁止在自然保护区核心区、缓冲区的岸线和河段范围内投资建设旅游和生产经营项目。禁止在风景名胜区核心景区的岸线和河段范围内投资建设与风景名胜资源保护无关的项目。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本项目场址不涉及自然保护区、风景名胜区等环境敏感区域</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根据</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大理白族自治州生态环境局弥渡分局出具的</w:t>
                  </w:r>
                  <w:r>
                    <w:rPr>
                      <w:rFonts w:hint="eastAsia" w:ascii="仿宋" w:hAnsi="仿宋" w:eastAsia="仿宋" w:cs="仿宋"/>
                      <w:color w:val="000000" w:themeColor="text1"/>
                      <w:sz w:val="21"/>
                      <w:szCs w:val="21"/>
                      <w:highlight w:val="none"/>
                      <w:lang w:eastAsia="zh-CN"/>
                      <w14:textFill>
                        <w14:solidFill>
                          <w14:schemeClr w14:val="tx1"/>
                        </w14:solidFill>
                      </w14:textFill>
                    </w:rPr>
                    <w:t>选址意见，本项目不涉及饮用水源保护区（详见附件）</w:t>
                  </w:r>
                  <w:r>
                    <w:rPr>
                      <w:rFonts w:hint="eastAsia" w:ascii="仿宋" w:hAnsi="仿宋" w:eastAsia="仿宋" w:cs="仿宋"/>
                      <w:color w:val="000000" w:themeColor="text1"/>
                      <w:sz w:val="21"/>
                      <w:szCs w:val="21"/>
                      <w:highlight w:val="none"/>
                      <w14:textFill>
                        <w14:solidFill>
                          <w14:schemeClr w14:val="tx1"/>
                        </w14:solidFill>
                      </w14:textFill>
                    </w:rPr>
                    <w:t>。</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本项目所在区不涉及水产种质资源保护区、国家湿地公园。</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本项目位于云南省弥渡县，地表水属于红河流域，不在长江流域范围内</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6.禁止未经许可在长江干支流及湖泊新设、改设或扩大排污口。</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本项目运营期无生产废水排放，生活污水经处理后全部回用于绿化，不外排；项目不属于长江流域，无违规设置排污口情况。</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7.禁止在“一江一口两湖七河”和332个水生生物保护区开展生产性捕捞。</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本项目属于风电建设项目，不会进行生产性捕捞。</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9"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本项目位于红河流域，不在长江流域管控范围，不涉及化工、尾矿库等建设</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color w:val="000000" w:themeColor="text1"/>
                      <w:sz w:val="21"/>
                      <w:szCs w:val="21"/>
                      <w:highlight w:val="none"/>
                      <w:lang w:eastAsia="zh-CN"/>
                      <w14:textFill>
                        <w14:solidFill>
                          <w14:schemeClr w14:val="tx1"/>
                        </w14:solidFill>
                      </w14:textFill>
                    </w:rPr>
                    <w:t>项目不</w:t>
                  </w:r>
                  <w:r>
                    <w:rPr>
                      <w:rFonts w:hint="eastAsia" w:ascii="仿宋" w:hAnsi="仿宋" w:eastAsia="仿宋" w:cs="仿宋"/>
                      <w:color w:val="000000" w:themeColor="text1"/>
                      <w:sz w:val="21"/>
                      <w:szCs w:val="21"/>
                      <w:highlight w:val="none"/>
                      <w:lang w:val="en-US" w:eastAsia="zh-CN"/>
                      <w14:textFill>
                        <w14:solidFill>
                          <w14:schemeClr w14:val="tx1"/>
                        </w14:solidFill>
                      </w14:textFill>
                    </w:rPr>
                    <w:t>在</w:t>
                  </w:r>
                  <w:r>
                    <w:rPr>
                      <w:rFonts w:hint="eastAsia" w:ascii="仿宋" w:hAnsi="仿宋" w:eastAsia="仿宋" w:cs="仿宋"/>
                      <w:color w:val="000000" w:themeColor="text1"/>
                      <w:sz w:val="21"/>
                      <w:szCs w:val="21"/>
                      <w:highlight w:val="none"/>
                      <w:lang w:eastAsia="zh-CN"/>
                      <w14:textFill>
                        <w14:solidFill>
                          <w14:schemeClr w14:val="tx1"/>
                        </w14:solidFill>
                      </w14:textFill>
                    </w:rPr>
                    <w:t>左列禁止区域。</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9.禁止在合规园区外新建、扩建钢铁、石化、化工、焦化、建材、有色、制浆造纸等高污染项目。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本项目为风电建设项目，属于新能源开发项目，不属于左列禁止类项目。</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10.禁止新建、扩建不符合国家石化、现代煤化工等产业布局规划的项目。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风电建设项目，属于新能源开发项目，绿色清洁能源开发项目。</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11.禁止新建、扩建法律法规和相关政策明令禁止的落后产能项目。禁止新建、扩建不符合国家产能置换要求的严重过剩产能行业的项目。禁止新建、扩建不符合要求的高耗能高排放项目。</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本项目建设符合国家产业政策，属于绿色清洁能源项目，不属于落后产能、过剩产能及高耗能高排放项目。</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6"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12.法律法规及相关政策文件有更加严格规定的从其规定。</w:t>
                  </w:r>
                </w:p>
              </w:tc>
              <w:tc>
                <w:tcPr>
                  <w:tcW w:w="1665" w:type="pct"/>
                  <w:noWrap w:val="0"/>
                  <w:vAlign w:val="center"/>
                </w:tcPr>
                <w:p>
                  <w:pPr>
                    <w:adjustRightInd w:val="0"/>
                    <w:snapToGrid w:val="0"/>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项目建设符合国家产业政策，符合相关法律法规及条例要求。</w:t>
                  </w:r>
                </w:p>
              </w:tc>
              <w:tc>
                <w:tcPr>
                  <w:tcW w:w="598" w:type="pct"/>
                  <w:noWrap w:val="0"/>
                  <w:vAlign w:val="center"/>
                </w:tcPr>
                <w:p>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w:t>
                  </w:r>
                </w:p>
              </w:tc>
            </w:tr>
          </w:tbl>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（2）与《云南省长江经济带发展负面清单指南实施细则（试行，2022年版）》（云发改基础〔2022〕894号文）符合性</w:t>
            </w:r>
          </w:p>
          <w:p>
            <w:pPr>
              <w:widowControl w:val="0"/>
              <w:spacing w:line="360" w:lineRule="auto"/>
              <w:ind w:firstLine="48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深入贯彻落实习近平总书记关于推动长江经济带发展的重要讲话和指示批示精神，认真落实长江保护法，云南省发展和改革委员会根据《长江经济带发展负面清单指南（试行，2022年版）》（长江办〔2022〕7号），结合云南实际，</w:t>
            </w:r>
            <w:r>
              <w:rPr>
                <w:rFonts w:hint="eastAsia" w:ascii="仿宋" w:hAnsi="仿宋" w:eastAsia="仿宋" w:cs="仿宋"/>
                <w:color w:val="000000" w:themeColor="text1"/>
                <w:sz w:val="24"/>
                <w:highlight w:val="none"/>
                <w:lang w:val="en-US" w:eastAsia="zh-CN"/>
                <w14:textFill>
                  <w14:solidFill>
                    <w14:schemeClr w14:val="tx1"/>
                  </w14:solidFill>
                </w14:textFill>
              </w:rPr>
              <w:t>2022年8月19日云南省发展和改革委员会发布了</w:t>
            </w:r>
            <w:r>
              <w:rPr>
                <w:rFonts w:hint="eastAsia" w:ascii="仿宋" w:hAnsi="仿宋" w:eastAsia="仿宋" w:cs="仿宋"/>
                <w:color w:val="000000" w:themeColor="text1"/>
                <w:sz w:val="24"/>
                <w:highlight w:val="none"/>
                <w:lang w:eastAsia="zh-CN"/>
                <w14:textFill>
                  <w14:solidFill>
                    <w14:schemeClr w14:val="tx1"/>
                  </w14:solidFill>
                </w14:textFill>
              </w:rPr>
              <w:t>《云南省长江经济带发展负面清单指南实施细则（试行，2022年版）》（云发改基础【2022】894号文），本项目与《云南省长江经济带发展负面清单指南实施细则（试行，2022年版）》（云发改基础【2022】894号文）中的内容对照情况详见</w:t>
            </w:r>
            <w:r>
              <w:rPr>
                <w:rFonts w:hint="eastAsia" w:ascii="仿宋" w:hAnsi="仿宋" w:eastAsia="仿宋" w:cs="仿宋"/>
                <w:color w:val="000000" w:themeColor="text1"/>
                <w:sz w:val="24"/>
                <w:highlight w:val="none"/>
                <w:lang w:val="en-US" w:eastAsia="zh-CN"/>
                <w14:textFill>
                  <w14:solidFill>
                    <w14:schemeClr w14:val="tx1"/>
                  </w14:solidFill>
                </w14:textFill>
              </w:rPr>
              <w:t>下</w:t>
            </w:r>
            <w:r>
              <w:rPr>
                <w:rFonts w:hint="eastAsia" w:ascii="仿宋" w:hAnsi="仿宋" w:eastAsia="仿宋" w:cs="仿宋"/>
                <w:color w:val="000000" w:themeColor="text1"/>
                <w:sz w:val="24"/>
                <w:highlight w:val="none"/>
                <w:lang w:eastAsia="zh-CN"/>
                <w14:textFill>
                  <w14:solidFill>
                    <w14:schemeClr w14:val="tx1"/>
                  </w14:solidFill>
                </w14:textFill>
              </w:rPr>
              <w:t>表：</w:t>
            </w:r>
          </w:p>
          <w:p>
            <w:pPr>
              <w:widowControl w:val="0"/>
              <w:spacing w:line="360" w:lineRule="auto"/>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表</w:t>
            </w:r>
            <w:r>
              <w:rPr>
                <w:rFonts w:hint="eastAsia" w:ascii="仿宋" w:hAnsi="仿宋" w:eastAsia="仿宋" w:cs="仿宋"/>
                <w:b/>
                <w:color w:val="000000" w:themeColor="text1"/>
                <w:highlight w:val="none"/>
                <w:lang w:val="en-US" w:eastAsia="zh-CN"/>
                <w14:textFill>
                  <w14:solidFill>
                    <w14:schemeClr w14:val="tx1"/>
                  </w14:solidFill>
                </w14:textFill>
              </w:rPr>
              <w:t>1-12</w:t>
            </w:r>
            <w:r>
              <w:rPr>
                <w:rFonts w:hint="eastAsia" w:ascii="仿宋" w:hAnsi="仿宋" w:eastAsia="仿宋" w:cs="仿宋"/>
                <w:b/>
                <w:color w:val="000000" w:themeColor="text1"/>
                <w:highlight w:val="none"/>
                <w14:textFill>
                  <w14:solidFill>
                    <w14:schemeClr w14:val="tx1"/>
                  </w14:solidFill>
                </w14:textFill>
              </w:rPr>
              <w:t xml:space="preserve">  与《云南省长江经济带发展负面清单指南实施细则》的符合性</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4176"/>
              <w:gridCol w:w="2995"/>
              <w:gridCol w:w="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 w:val="0"/>
                      <w:bCs/>
                      <w:color w:val="000000" w:themeColor="text1"/>
                      <w:sz w:val="21"/>
                      <w:szCs w:val="21"/>
                      <w:highlight w:val="none"/>
                      <w14:textFill>
                        <w14:solidFill>
                          <w14:schemeClr w14:val="tx1"/>
                        </w14:solidFill>
                      </w14:textFill>
                    </w:rPr>
                  </w:pPr>
                  <w:r>
                    <w:rPr>
                      <w:rFonts w:hint="eastAsia" w:ascii="仿宋" w:hAnsi="仿宋" w:eastAsia="仿宋" w:cs="仿宋"/>
                      <w:b w:val="0"/>
                      <w:bCs/>
                      <w:color w:val="000000" w:themeColor="text1"/>
                      <w:sz w:val="21"/>
                      <w:szCs w:val="21"/>
                      <w:highlight w:val="none"/>
                      <w14:textFill>
                        <w14:solidFill>
                          <w14:schemeClr w14:val="tx1"/>
                        </w14:solidFill>
                      </w14:textFill>
                    </w:rPr>
                    <w:t>序号</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 w:val="0"/>
                      <w:bCs/>
                      <w:color w:val="000000" w:themeColor="text1"/>
                      <w:sz w:val="21"/>
                      <w:szCs w:val="21"/>
                      <w:highlight w:val="none"/>
                      <w14:textFill>
                        <w14:solidFill>
                          <w14:schemeClr w14:val="tx1"/>
                        </w14:solidFill>
                      </w14:textFill>
                    </w:rPr>
                  </w:pPr>
                  <w:r>
                    <w:rPr>
                      <w:rFonts w:hint="eastAsia" w:ascii="仿宋" w:hAnsi="仿宋" w:eastAsia="仿宋" w:cs="仿宋"/>
                      <w:b w:val="0"/>
                      <w:bCs/>
                      <w:color w:val="000000" w:themeColor="text1"/>
                      <w:sz w:val="21"/>
                      <w:szCs w:val="21"/>
                      <w:highlight w:val="none"/>
                      <w14:textFill>
                        <w14:solidFill>
                          <w14:schemeClr w14:val="tx1"/>
                        </w14:solidFill>
                      </w14:textFill>
                    </w:rPr>
                    <w:t>具体要求</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 w:val="0"/>
                      <w:bCs/>
                      <w:color w:val="000000" w:themeColor="text1"/>
                      <w:sz w:val="21"/>
                      <w:szCs w:val="21"/>
                      <w:highlight w:val="none"/>
                      <w14:textFill>
                        <w14:solidFill>
                          <w14:schemeClr w14:val="tx1"/>
                        </w14:solidFill>
                      </w14:textFill>
                    </w:rPr>
                  </w:pPr>
                  <w:r>
                    <w:rPr>
                      <w:rFonts w:hint="eastAsia" w:ascii="仿宋" w:hAnsi="仿宋" w:eastAsia="仿宋" w:cs="仿宋"/>
                      <w:b w:val="0"/>
                      <w:bCs/>
                      <w:color w:val="000000" w:themeColor="text1"/>
                      <w:sz w:val="21"/>
                      <w:szCs w:val="21"/>
                      <w:highlight w:val="none"/>
                      <w14:textFill>
                        <w14:solidFill>
                          <w14:schemeClr w14:val="tx1"/>
                        </w14:solidFill>
                      </w14:textFill>
                    </w:rPr>
                    <w:t>本项目</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 w:val="0"/>
                      <w:bCs/>
                      <w:color w:val="000000" w:themeColor="text1"/>
                      <w:sz w:val="21"/>
                      <w:szCs w:val="21"/>
                      <w:highlight w:val="none"/>
                      <w14:textFill>
                        <w14:solidFill>
                          <w14:schemeClr w14:val="tx1"/>
                        </w14:solidFill>
                      </w14:textFill>
                    </w:rPr>
                  </w:pPr>
                  <w:r>
                    <w:rPr>
                      <w:rFonts w:hint="eastAsia" w:ascii="仿宋" w:hAnsi="仿宋" w:eastAsia="仿宋" w:cs="仿宋"/>
                      <w:b w:val="0"/>
                      <w:bCs/>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1</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本项目为弥渡县莲峰村风电项目，属于新能源风力发电项目，不属于码头项目。</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14:textFill>
                        <w14:solidFill>
                          <w14:schemeClr w14:val="tx1"/>
                        </w14:solidFill>
                      </w14:textFill>
                    </w:rPr>
                    <w:t>2</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项目位于大理白族自治州弥渡县莲峰村，根据《弥渡县自然资源局关于本项目规划符合性的情况说明》《大理白族自治州自然资源和规划局关于本项目规划符合性的情况说明》，本项目不涉及各级自然保护区。</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3</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项目位于大理白族自治州弥渡县莲峰村，不涉及风景名胜区。无开山、采石、建设违规设施等行为。</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4</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r>
                    <w:rPr>
                      <w:rFonts w:hint="eastAsia" w:ascii="仿宋" w:hAnsi="仿宋" w:eastAsia="仿宋" w:cs="仿宋"/>
                      <w:color w:val="000000" w:themeColor="text1"/>
                      <w:sz w:val="21"/>
                      <w:szCs w:val="21"/>
                      <w:highlight w:val="none"/>
                      <w:lang w:eastAsia="zh-CN"/>
                      <w14:textFill>
                        <w14:solidFill>
                          <w14:schemeClr w14:val="tx1"/>
                        </w14:solidFill>
                      </w14:textFill>
                    </w:rPr>
                    <w:t>。</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根据</w:t>
                  </w:r>
                  <w:r>
                    <w:rPr>
                      <w:rFonts w:hint="eastAsia" w:ascii="仿宋" w:hAnsi="仿宋" w:eastAsia="仿宋" w:cs="仿宋"/>
                      <w:color w:val="000000" w:themeColor="text1"/>
                      <w:sz w:val="21"/>
                      <w:szCs w:val="21"/>
                      <w:highlight w:val="none"/>
                      <w:lang w:eastAsia="zh-CN"/>
                      <w14:textFill>
                        <w14:solidFill>
                          <w14:schemeClr w14:val="tx1"/>
                        </w14:solidFill>
                      </w14:textFill>
                    </w:rPr>
                    <w:t>《大理白族自治州生态环境局弥渡分局关于本项目的选址建设意见》</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，项目不涉及饮用水水源保护区</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5</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项目</w:t>
                  </w:r>
                  <w:r>
                    <w:rPr>
                      <w:rFonts w:hint="eastAsia" w:ascii="仿宋" w:hAnsi="仿宋" w:eastAsia="仿宋" w:cs="仿宋"/>
                      <w:color w:val="000000" w:themeColor="text1"/>
                      <w:sz w:val="21"/>
                      <w:szCs w:val="21"/>
                      <w:highlight w:val="none"/>
                      <w:lang w:val="en-US" w:eastAsia="zh-CN"/>
                      <w14:textFill>
                        <w14:solidFill>
                          <w14:schemeClr w14:val="tx1"/>
                        </w14:solidFill>
                      </w14:textFill>
                    </w:rPr>
                    <w:t>位于大理白族自治州弥渡县莲峰村</w:t>
                  </w: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项目区</w:t>
                  </w:r>
                  <w:r>
                    <w:rPr>
                      <w:rFonts w:hint="eastAsia" w:ascii="仿宋" w:hAnsi="仿宋" w:eastAsia="仿宋" w:cs="仿宋"/>
                      <w:color w:val="000000" w:themeColor="text1"/>
                      <w:sz w:val="21"/>
                      <w:szCs w:val="21"/>
                      <w:highlight w:val="none"/>
                      <w14:textFill>
                        <w14:solidFill>
                          <w14:schemeClr w14:val="tx1"/>
                        </w14:solidFill>
                      </w14:textFill>
                    </w:rPr>
                    <w:t>不涉及水产种质资源保护区、国家湿地公园及森林公园</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6</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本项目位于红河流域，项目不在金沙江、长江一级支流岸线保护范围，项目不属于左列中所禁止的行为和禁止建设的建设项目。</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7</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r>
                    <w:rPr>
                      <w:rFonts w:hint="eastAsia" w:ascii="仿宋" w:hAnsi="仿宋" w:eastAsia="仿宋" w:cs="仿宋"/>
                      <w:color w:val="000000" w:themeColor="text1"/>
                      <w:sz w:val="21"/>
                      <w:szCs w:val="21"/>
                      <w:highlight w:val="none"/>
                      <w:lang w:eastAsia="zh-CN"/>
                      <w14:textFill>
                        <w14:solidFill>
                          <w14:schemeClr w14:val="tx1"/>
                        </w14:solidFill>
                      </w14:textFill>
                    </w:rPr>
                    <w:t>。</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本项目运营期无废水排放，不设置排污口。</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8</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11"/>
                      <w:sz w:val="21"/>
                      <w:szCs w:val="21"/>
                      <w:highlight w:val="none"/>
                      <w:lang w:val="en-US" w:eastAsia="zh-CN"/>
                      <w14:textFill>
                        <w14:solidFill>
                          <w14:schemeClr w14:val="tx1"/>
                        </w14:solidFill>
                      </w14:textFill>
                    </w:rPr>
                    <w:t>禁止在金沙江干流、长江一级支流、水生生物保护区和长江流域禁捕水域开展天然渔业资源生产性捕捞。</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项目属于风力发电项目，</w:t>
                  </w:r>
                  <w:r>
                    <w:rPr>
                      <w:rFonts w:hint="eastAsia" w:ascii="仿宋" w:hAnsi="仿宋" w:eastAsia="仿宋" w:cs="仿宋"/>
                      <w:color w:val="000000" w:themeColor="text1"/>
                      <w:sz w:val="21"/>
                      <w:szCs w:val="21"/>
                      <w:highlight w:val="none"/>
                      <w14:textFill>
                        <w14:solidFill>
                          <w14:schemeClr w14:val="tx1"/>
                        </w14:solidFill>
                      </w14:textFill>
                    </w:rPr>
                    <w:t>不涉及渔业捕捞</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9</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项目位于大理白族自治州弥渡县莲峰村，项目属于风力发电项目，不属于左列禁止建设区的建设项目。</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10</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禁止在合规园区外新建、扩建钢铁、石化、化工、焦化、建材、有色、制浆造纸行业中的高污染项目</w:t>
                  </w:r>
                  <w:r>
                    <w:rPr>
                      <w:rFonts w:hint="eastAsia" w:ascii="仿宋" w:hAnsi="仿宋" w:eastAsia="仿宋" w:cs="仿宋"/>
                      <w:color w:val="000000" w:themeColor="text1"/>
                      <w:sz w:val="21"/>
                      <w:szCs w:val="21"/>
                      <w:highlight w:val="none"/>
                      <w:lang w:eastAsia="zh-CN"/>
                      <w14:textFill>
                        <w14:solidFill>
                          <w14:schemeClr w14:val="tx1"/>
                        </w14:solidFill>
                      </w14:textFill>
                    </w:rPr>
                    <w:t>。</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项目位于大理白族自治州弥渡县莲峰村，不属于左列禁止建设区的建设项目。</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11</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项目区属于红河流域，项目为风力发电项目，不属于左列禁止建设的项目。</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jc w:val="center"/>
                    <w:textAlignment w:val="auto"/>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12</w:t>
                  </w:r>
                </w:p>
              </w:tc>
              <w:tc>
                <w:tcPr>
                  <w:tcW w:w="2635"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限制类</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产能。禁止建设高毒高残留以及对环境影响大的农药原药生产装置，严控尿素、磷铵、电石、焦炭、黄磷、烧碱、纯碱、聚氯乙烯等行业新增产能</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c>
                <w:tcPr>
                  <w:tcW w:w="1890"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本项目属于鼓励类清洁能源项目，不属于落后、过剩、高耗能高排放类禁止项目。</w:t>
                  </w:r>
                </w:p>
              </w:tc>
              <w:tc>
                <w:tcPr>
                  <w:tcW w:w="178" w:type="pct"/>
                  <w:noWrap/>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符合</w:t>
                  </w:r>
                </w:p>
              </w:tc>
            </w:tr>
          </w:tbl>
          <w:p>
            <w:pPr>
              <w:widowControl w:val="0"/>
              <w:spacing w:line="360" w:lineRule="auto"/>
              <w:ind w:firstLine="480"/>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十一</w:t>
            </w:r>
            <w:r>
              <w:rPr>
                <w:rFonts w:hint="default" w:ascii="仿宋" w:hAnsi="仿宋" w:eastAsia="仿宋" w:cs="仿宋"/>
                <w:b/>
                <w:bCs/>
                <w:color w:val="000000" w:themeColor="text1"/>
                <w:sz w:val="24"/>
                <w:highlight w:val="none"/>
                <w:lang w:val="en-US" w:eastAsia="zh-CN"/>
                <w14:textFill>
                  <w14:solidFill>
                    <w14:schemeClr w14:val="tx1"/>
                  </w14:solidFill>
                </w14:textFill>
              </w:rPr>
              <w:t>、与《关于做好能源项目环评审批服务工作的通知》（云环通〔2022〕140号）的符合性</w:t>
            </w:r>
          </w:p>
          <w:p>
            <w:pPr>
              <w:widowControl w:val="0"/>
              <w:spacing w:line="360" w:lineRule="auto"/>
              <w:ind w:firstLine="480"/>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2022年9月2日，云南省生态环境厅印发了《关于做好能源项目环评审批服务工作的通知》（云环通〔2022〕140号）），该通知要求：对可能涉及自然保护地、饮用水水源保护区、生态保护红线等环境敏感区的煤炭开采、水力发电、风力发电、太阳能发电等能源项目尤其是涉及能源保供项目要依法依规予以避让。</w:t>
            </w:r>
          </w:p>
          <w:p>
            <w:pPr>
              <w:widowControl w:val="0"/>
              <w:spacing w:line="360" w:lineRule="auto"/>
              <w:ind w:firstLine="480"/>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本项目为风力发电项目，</w:t>
            </w:r>
            <w:r>
              <w:rPr>
                <w:rFonts w:hint="eastAsia" w:ascii="仿宋" w:hAnsi="仿宋" w:eastAsia="仿宋" w:cs="仿宋"/>
                <w:color w:val="000000" w:themeColor="text1"/>
                <w:sz w:val="24"/>
                <w:highlight w:val="none"/>
                <w:lang w:val="en-US" w:eastAsia="zh-CN"/>
                <w14:textFill>
                  <w14:solidFill>
                    <w14:schemeClr w14:val="tx1"/>
                  </w14:solidFill>
                </w14:textFill>
              </w:rPr>
              <w:t>征占地范围</w:t>
            </w:r>
            <w:r>
              <w:rPr>
                <w:rFonts w:hint="default" w:ascii="仿宋" w:hAnsi="仿宋" w:eastAsia="仿宋" w:cs="仿宋"/>
                <w:color w:val="000000" w:themeColor="text1"/>
                <w:sz w:val="24"/>
                <w:highlight w:val="none"/>
                <w:lang w:val="en-US" w:eastAsia="zh-CN"/>
                <w14:textFill>
                  <w14:solidFill>
                    <w14:schemeClr w14:val="tx1"/>
                  </w14:solidFill>
                </w14:textFill>
              </w:rPr>
              <w:t>不</w:t>
            </w:r>
            <w:r>
              <w:rPr>
                <w:rFonts w:hint="eastAsia" w:ascii="仿宋" w:hAnsi="仿宋" w:eastAsia="仿宋" w:cs="仿宋"/>
                <w:color w:val="000000" w:themeColor="text1"/>
                <w:sz w:val="24"/>
                <w:highlight w:val="none"/>
                <w:lang w:val="en-US" w:eastAsia="zh-CN"/>
                <w14:textFill>
                  <w14:solidFill>
                    <w14:schemeClr w14:val="tx1"/>
                  </w14:solidFill>
                </w14:textFill>
              </w:rPr>
              <w:t>涉及</w:t>
            </w:r>
            <w:r>
              <w:rPr>
                <w:rFonts w:hint="default" w:ascii="仿宋" w:hAnsi="仿宋" w:eastAsia="仿宋" w:cs="仿宋"/>
                <w:color w:val="000000" w:themeColor="text1"/>
                <w:sz w:val="24"/>
                <w:highlight w:val="none"/>
                <w:lang w:val="en-US" w:eastAsia="zh-CN"/>
                <w14:textFill>
                  <w14:solidFill>
                    <w14:schemeClr w14:val="tx1"/>
                  </w14:solidFill>
                </w14:textFill>
              </w:rPr>
              <w:t>自然保护区、自然公园、世界自然遗产、生态保护红线、重要生境、饮用水水源保护区、永久基本农田、天然</w:t>
            </w:r>
            <w:r>
              <w:rPr>
                <w:rFonts w:hint="eastAsia" w:ascii="仿宋" w:hAnsi="仿宋" w:eastAsia="仿宋" w:cs="仿宋"/>
                <w:color w:val="000000" w:themeColor="text1"/>
                <w:sz w:val="24"/>
                <w:highlight w:val="none"/>
                <w:lang w:val="en-US" w:eastAsia="zh-CN"/>
                <w14:textFill>
                  <w14:solidFill>
                    <w14:schemeClr w14:val="tx1"/>
                  </w14:solidFill>
                </w14:textFill>
              </w:rPr>
              <w:t>乔木</w:t>
            </w:r>
            <w:r>
              <w:rPr>
                <w:rFonts w:hint="default" w:ascii="仿宋" w:hAnsi="仿宋" w:eastAsia="仿宋" w:cs="仿宋"/>
                <w:color w:val="000000" w:themeColor="text1"/>
                <w:sz w:val="24"/>
                <w:highlight w:val="none"/>
                <w:lang w:val="en-US" w:eastAsia="zh-CN"/>
                <w14:textFill>
                  <w14:solidFill>
                    <w14:schemeClr w14:val="tx1"/>
                  </w14:solidFill>
                </w14:textFill>
              </w:rPr>
              <w:t>林、一级国家公益林地和二级国家公益林中的有林地等敏感区域，不涉及云南省生物多样性保护优先区域</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color w:val="000000" w:themeColor="text1"/>
                <w:sz w:val="24"/>
                <w:highlight w:val="none"/>
                <w:lang w:eastAsia="zh-CN"/>
                <w14:textFill>
                  <w14:solidFill>
                    <w14:schemeClr w14:val="tx1"/>
                  </w14:solidFill>
                </w14:textFill>
              </w:rPr>
              <w:t>项目建设</w:t>
            </w:r>
            <w:r>
              <w:rPr>
                <w:rFonts w:hint="eastAsia" w:ascii="仿宋" w:hAnsi="仿宋" w:eastAsia="仿宋" w:cs="仿宋"/>
                <w:color w:val="000000" w:themeColor="text1"/>
                <w:sz w:val="24"/>
                <w:highlight w:val="none"/>
                <w:lang w:val="en-US" w:eastAsia="zh-CN"/>
                <w14:textFill>
                  <w14:solidFill>
                    <w14:schemeClr w14:val="tx1"/>
                  </w14:solidFill>
                </w14:textFill>
              </w:rPr>
              <w:t>与</w:t>
            </w:r>
            <w:r>
              <w:rPr>
                <w:rFonts w:hint="default" w:ascii="仿宋" w:hAnsi="仿宋" w:eastAsia="仿宋" w:cs="仿宋"/>
                <w:color w:val="000000" w:themeColor="text1"/>
                <w:sz w:val="24"/>
                <w:highlight w:val="none"/>
                <w:lang w:eastAsia="zh-CN"/>
                <w14:textFill>
                  <w14:solidFill>
                    <w14:schemeClr w14:val="tx1"/>
                  </w14:solidFill>
                </w14:textFill>
              </w:rPr>
              <w:t>《关于做好能源项目环评审批服务工作的通知》（云环通〔2022〕140号）的相关要求</w:t>
            </w:r>
            <w:r>
              <w:rPr>
                <w:rFonts w:hint="eastAsia" w:ascii="仿宋" w:hAnsi="仿宋" w:eastAsia="仿宋" w:cs="仿宋"/>
                <w:color w:val="000000" w:themeColor="text1"/>
                <w:sz w:val="24"/>
                <w:highlight w:val="none"/>
                <w:lang w:val="en-US" w:eastAsia="zh-CN"/>
                <w14:textFill>
                  <w14:solidFill>
                    <w14:schemeClr w14:val="tx1"/>
                  </w14:solidFill>
                </w14:textFill>
              </w:rPr>
              <w:t>不冲突</w:t>
            </w:r>
            <w:r>
              <w:rPr>
                <w:rFonts w:hint="default" w:ascii="仿宋" w:hAnsi="仿宋" w:eastAsia="仿宋" w:cs="仿宋"/>
                <w:color w:val="000000" w:themeColor="text1"/>
                <w:sz w:val="24"/>
                <w:highlight w:val="none"/>
                <w:lang w:val="en-US" w:eastAsia="zh-CN"/>
                <w14:textFill>
                  <w14:solidFill>
                    <w14:schemeClr w14:val="tx1"/>
                  </w14:solidFill>
                </w14:textFill>
              </w:rPr>
              <w:t>。</w:t>
            </w:r>
          </w:p>
          <w:p>
            <w:pPr>
              <w:widowControl w:val="0"/>
              <w:spacing w:line="360" w:lineRule="auto"/>
              <w:ind w:firstLine="48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十二、与公益林管理办法协调性分析</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国家级公益林管理办法》(林资发(2017)34号)第九条：“严格控制勘查、开采矿藏和工程建设使用国家级公益林地。确需使用的，严格按照《建设项目使用林地审核审批管理办法》有关规定办理使用林地手续。涉及林木采伐的，按相关规定依法办理林木采伐手续……”第十三条：“二级国家级公益林在不影响整体森林生态系统功能发挥的前提下，可以按照第十二条第三款相关技术规程的规定开展抚育和更新性质的采伐。在不破坏森林植被的前提下，可以合理利用其林地资源，适度开展林下种植养殖和森林游憩等非木质资源开发与利用，科学发展林下经济……”</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云南省公益林管理办法》(云林规(2019)2号)第二十五条：“严格控制勘查、采矿和工程建设使用公益林地。纳入生态红线范围的公益林，按生态管控红线相关要求执行；未纳入生态红线范围、确需使用的公益林，由县级以上林业和草原主管部门进行核查，严格按照相关规定办理使用林地和林木采伐手续……”。第二十八条：“国家级公益林开展生产经营活动，要严格按照《国家级公益林管理办法》相关规定执行。”第二十九条：“省级公益林在不影响整体森林生态系统功能发挥的前提下，应当参照《国家级公益林管理办法》第十二条第三款的规定开展抚育和更新性质的采伐。在不破坏森林植被的前提下，可以合理利用林地资源，适度开展林下种植养殖和森林游憩等非木质资源开发与利用，科学发展林下经济……”</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符合性分析：</w:t>
            </w:r>
            <w:r>
              <w:rPr>
                <w:rFonts w:hint="eastAsia" w:ascii="仿宋" w:hAnsi="仿宋" w:eastAsia="仿宋" w:cs="仿宋"/>
                <w:color w:val="000000" w:themeColor="text1"/>
                <w:sz w:val="24"/>
                <w:highlight w:val="none"/>
                <w:lang w:val="en-US" w:eastAsia="zh-CN"/>
                <w14:textFill>
                  <w14:solidFill>
                    <w14:schemeClr w14:val="tx1"/>
                  </w14:solidFill>
                </w14:textFill>
              </w:rPr>
              <w:t>根据《弥渡县自然资源局关于 “千乡万村驭风行动” 莲峰村项目用地预审与选址意见书初审意见的报告》及林业主管部门核查意见，本项目选址范围内未涉及国家规定禁止占用的林地，工程不占用一级国家级公益林地、不占用二级国家级公益林中的有林地、不占用天然乔木林，仅占用少量省级公益林 5.8822hm²。项目建设布局紧凑、占地规模小，不会影响区域整体森林生态系统功能发挥，征占地范围不涉及生态保护红线。</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已取得林业和草原部门同意选址的意见，占用公益林均严格按照法定程序办理使用林地审核审批及林木采伐手续，建设与运营过程中将落实生态保护、植被恢复和水土保持措施，最大限度降低对林地及生态环境的影响。因此，项目建设符合《国家级公益林管理办法》和《云南省公益林管理办法》的各项管控要求。</w:t>
            </w:r>
          </w:p>
          <w:p>
            <w:pPr>
              <w:widowControl w:val="0"/>
              <w:spacing w:line="360" w:lineRule="auto"/>
              <w:ind w:firstLine="48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十三、项目与《输变电建设项目环境保护技术要求》（HJ1113-2020）符合性分析</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2020年2月7日由生态环境部</w:t>
            </w:r>
            <w:r>
              <w:rPr>
                <w:rFonts w:hint="default" w:ascii="仿宋" w:hAnsi="仿宋" w:eastAsia="仿宋" w:cs="仿宋"/>
                <w:color w:val="000000" w:themeColor="text1"/>
                <w:sz w:val="24"/>
                <w:highlight w:val="none"/>
                <w:lang w:val="en-US" w:eastAsia="zh-CN"/>
                <w14:textFill>
                  <w14:solidFill>
                    <w14:schemeClr w14:val="tx1"/>
                  </w14:solidFill>
                </w14:textFill>
              </w:rPr>
              <w:t>发布</w:t>
            </w:r>
            <w:r>
              <w:rPr>
                <w:rFonts w:hint="default" w:ascii="仿宋" w:hAnsi="仿宋" w:eastAsia="仿宋" w:cs="仿宋"/>
                <w:color w:val="000000" w:themeColor="text1"/>
                <w:sz w:val="24"/>
                <w:highlight w:val="none"/>
                <w:lang w:eastAsia="zh-CN"/>
                <w14:textFill>
                  <w14:solidFill>
                    <w14:schemeClr w14:val="tx1"/>
                  </w14:solidFill>
                </w14:textFill>
              </w:rPr>
              <w:t>的《输变电建设项目环境保护技术要求》，具体要求及符合性分析如下：</w:t>
            </w:r>
          </w:p>
          <w:p>
            <w:pPr>
              <w:keepNext w:val="0"/>
              <w:keepLines w:val="0"/>
              <w:pageBreakBefore w:val="0"/>
              <w:widowControl/>
              <w:kinsoku/>
              <w:wordWrap/>
              <w:overflowPunct/>
              <w:topLinePunct w:val="0"/>
              <w:autoSpaceDE/>
              <w:autoSpaceDN/>
              <w:bidi w:val="0"/>
              <w:adjustRightInd/>
              <w:snapToGrid w:val="0"/>
              <w:spacing w:before="0" w:after="0" w:line="240" w:lineRule="atLeast"/>
              <w:ind w:right="0"/>
              <w:jc w:val="center"/>
              <w:textAlignment w:val="auto"/>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SA"/>
                <w14:textFill>
                  <w14:solidFill>
                    <w14:schemeClr w14:val="tx1"/>
                  </w14:solidFill>
                </w14:textFill>
              </w:rPr>
              <w:t>表1-13  项目与《输变电建设项目环境保护技术要求》符合性分析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615"/>
              <w:gridCol w:w="3128"/>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noWrap w:val="0"/>
                  <w:vAlign w:val="center"/>
                </w:tcPr>
                <w:p>
                  <w:pPr>
                    <w:autoSpaceDE w:val="0"/>
                    <w:autoSpaceDN w:val="0"/>
                    <w:adjustRightInd w:val="0"/>
                    <w:snapToGrid w:val="0"/>
                    <w:jc w:val="cente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t>类型</w:t>
                  </w:r>
                </w:p>
              </w:tc>
              <w:tc>
                <w:tcPr>
                  <w:tcW w:w="3720" w:type="dxa"/>
                  <w:noWrap w:val="0"/>
                  <w:vAlign w:val="center"/>
                </w:tcPr>
                <w:p>
                  <w:pPr>
                    <w:autoSpaceDE w:val="0"/>
                    <w:autoSpaceDN w:val="0"/>
                    <w:adjustRightInd w:val="0"/>
                    <w:snapToGrid w:val="0"/>
                    <w:jc w:val="center"/>
                    <w:rPr>
                      <w:rFonts w:hint="eastAsia"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HJ1113-2020</w:t>
                  </w:r>
                </w:p>
              </w:tc>
              <w:tc>
                <w:tcPr>
                  <w:tcW w:w="3220" w:type="dxa"/>
                  <w:noWrap w:val="0"/>
                  <w:vAlign w:val="center"/>
                </w:tcPr>
                <w:p>
                  <w:pPr>
                    <w:autoSpaceDE w:val="0"/>
                    <w:autoSpaceDN w:val="0"/>
                    <w:adjustRightInd w:val="0"/>
                    <w:snapToGrid w:val="0"/>
                    <w:jc w:val="cente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项目</w:t>
                  </w:r>
                  <w: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t>情况</w:t>
                  </w:r>
                </w:p>
              </w:tc>
              <w:tc>
                <w:tcPr>
                  <w:tcW w:w="662" w:type="dxa"/>
                  <w:noWrap w:val="0"/>
                  <w:vAlign w:val="center"/>
                </w:tcPr>
                <w:p>
                  <w:pPr>
                    <w:autoSpaceDE w:val="0"/>
                    <w:autoSpaceDN w:val="0"/>
                    <w:adjustRightInd w:val="0"/>
                    <w:snapToGrid w:val="0"/>
                    <w:jc w:val="center"/>
                    <w:rPr>
                      <w:rFonts w:hint="eastAsia"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48"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基本规定</w:t>
                  </w:r>
                </w:p>
              </w:tc>
              <w:tc>
                <w:tcPr>
                  <w:tcW w:w="3720"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①输变电建设项目的初步设计、施工图设计文件中应包含相关的环境保护内容，编制环境保护篇章、开展环境保护专项设计，落实防治环境污染和生态破坏的措施、设施及相应资金。②输电线路进入自然保护区实验区、饮用水水源二级保护区等环境敏感区时，应采取塔基定位避让、减少进入长度、控制导线高度等环境保护措施，减少对环境保护对象的不利影响。③变电工程应设置足够容量的事故油池及其配套的拦截、防雨、防渗等措施和设施。一旦发生泄漏，应能及时进行拦截和处理，确保油及油水混合物全部收集、不外排。</w:t>
                  </w:r>
                </w:p>
              </w:tc>
              <w:tc>
                <w:tcPr>
                  <w:tcW w:w="3220"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本项目为</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风力发电</w:t>
                  </w:r>
                  <w:r>
                    <w:rPr>
                      <w:rFonts w:hint="eastAsia" w:ascii="仿宋" w:hAnsi="仿宋" w:eastAsia="仿宋" w:cs="仿宋"/>
                      <w:color w:val="000000" w:themeColor="text1"/>
                      <w:kern w:val="0"/>
                      <w:sz w:val="21"/>
                      <w:szCs w:val="21"/>
                      <w:highlight w:val="none"/>
                      <w14:textFill>
                        <w14:solidFill>
                          <w14:schemeClr w14:val="tx1"/>
                        </w14:solidFill>
                      </w14:textFill>
                    </w:rPr>
                    <w:t>项目，本次环评内容主要为</w:t>
                  </w:r>
                  <w:r>
                    <w:rPr>
                      <w:rFonts w:hint="eastAsia" w:ascii="仿宋" w:hAnsi="仿宋" w:eastAsia="仿宋" w:cs="仿宋"/>
                      <w:color w:val="000000" w:themeColor="text1"/>
                      <w:kern w:val="0"/>
                      <w:sz w:val="21"/>
                      <w:szCs w:val="21"/>
                      <w:highlight w:val="none"/>
                      <w:lang w:eastAsia="zh-CN"/>
                      <w14:textFill>
                        <w14:solidFill>
                          <w14:schemeClr w14:val="tx1"/>
                        </w14:solidFill>
                      </w14:textFill>
                    </w:rPr>
                    <w:t>风机、</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箱变、</w:t>
                  </w:r>
                  <w:r>
                    <w:rPr>
                      <w:rFonts w:hint="eastAsia" w:ascii="仿宋" w:hAnsi="仿宋" w:eastAsia="仿宋" w:cs="仿宋"/>
                      <w:color w:val="000000" w:themeColor="text1"/>
                      <w:kern w:val="0"/>
                      <w:sz w:val="21"/>
                      <w:szCs w:val="21"/>
                      <w:highlight w:val="none"/>
                      <w14:textFill>
                        <w14:solidFill>
                          <w14:schemeClr w14:val="tx1"/>
                        </w14:solidFill>
                      </w14:textFill>
                    </w:rPr>
                    <w:t>35kV 开关站</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集电线路</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区等工程内容</w:t>
                  </w:r>
                  <w:r>
                    <w:rPr>
                      <w:rFonts w:hint="eastAsia" w:ascii="仿宋" w:hAnsi="仿宋" w:eastAsia="仿宋" w:cs="仿宋"/>
                      <w:color w:val="000000" w:themeColor="text1"/>
                      <w:kern w:val="0"/>
                      <w:sz w:val="21"/>
                      <w:szCs w:val="21"/>
                      <w:highlight w:val="none"/>
                      <w14:textFill>
                        <w14:solidFill>
                          <w14:schemeClr w14:val="tx1"/>
                        </w14:solidFill>
                      </w14:textFill>
                    </w:rPr>
                    <w:t>。根据项目可行性研究报告，项目设计过程中已包含</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环境保护相关</w:t>
                  </w:r>
                  <w:r>
                    <w:rPr>
                      <w:rFonts w:hint="eastAsia" w:ascii="仿宋" w:hAnsi="仿宋" w:eastAsia="仿宋" w:cs="仿宋"/>
                      <w:color w:val="000000" w:themeColor="text1"/>
                      <w:kern w:val="0"/>
                      <w:sz w:val="21"/>
                      <w:szCs w:val="21"/>
                      <w:highlight w:val="none"/>
                      <w14:textFill>
                        <w14:solidFill>
                          <w14:schemeClr w14:val="tx1"/>
                        </w14:solidFill>
                      </w14:textFill>
                    </w:rPr>
                    <w:t>内容。本次环评，通过污染物核算及生态环境影响提出了对应的环保措施。本项目</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不涉及自然保护区、不在饮用水水源保护区范围内</w:t>
                  </w:r>
                  <w:r>
                    <w:rPr>
                      <w:rFonts w:hint="eastAsia" w:ascii="仿宋" w:hAnsi="仿宋" w:eastAsia="仿宋" w:cs="仿宋"/>
                      <w:color w:val="000000" w:themeColor="text1"/>
                      <w:kern w:val="0"/>
                      <w:sz w:val="21"/>
                      <w:szCs w:val="21"/>
                      <w:highlight w:val="none"/>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开关站主变及风电机组箱变</w:t>
                  </w:r>
                  <w:r>
                    <w:rPr>
                      <w:rFonts w:hint="eastAsia" w:ascii="仿宋" w:hAnsi="仿宋" w:eastAsia="仿宋" w:cs="仿宋"/>
                      <w:color w:val="000000" w:themeColor="text1"/>
                      <w:kern w:val="0"/>
                      <w:sz w:val="21"/>
                      <w:szCs w:val="21"/>
                      <w:highlight w:val="none"/>
                      <w14:textFill>
                        <w14:solidFill>
                          <w14:schemeClr w14:val="tx1"/>
                        </w14:solidFill>
                      </w14:textFill>
                    </w:rPr>
                    <w:t>设置了事故油池和集油坑，配套</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设置了</w:t>
                  </w:r>
                  <w:r>
                    <w:rPr>
                      <w:rFonts w:hint="eastAsia" w:ascii="仿宋" w:hAnsi="仿宋" w:eastAsia="仿宋" w:cs="仿宋"/>
                      <w:color w:val="000000" w:themeColor="text1"/>
                      <w:kern w:val="0"/>
                      <w:sz w:val="21"/>
                      <w:szCs w:val="21"/>
                      <w:highlight w:val="none"/>
                      <w14:textFill>
                        <w14:solidFill>
                          <w14:schemeClr w14:val="tx1"/>
                        </w14:solidFill>
                      </w14:textFill>
                    </w:rPr>
                    <w:t>拦截、防雨、防渗等措施和设施。满足废油的收集，并采取了相应的防渗措施</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确保油及油水混合物不外排</w:t>
                  </w:r>
                  <w:r>
                    <w:rPr>
                      <w:rFonts w:hint="eastAsia" w:ascii="仿宋" w:hAnsi="仿宋" w:eastAsia="仿宋" w:cs="仿宋"/>
                      <w:color w:val="000000" w:themeColor="text1"/>
                      <w:kern w:val="0"/>
                      <w:sz w:val="21"/>
                      <w:szCs w:val="21"/>
                      <w:highlight w:val="none"/>
                      <w14:textFill>
                        <w14:solidFill>
                          <w14:schemeClr w14:val="tx1"/>
                        </w14:solidFill>
                      </w14:textFill>
                    </w:rPr>
                    <w:t>。</w:t>
                  </w:r>
                </w:p>
              </w:tc>
              <w:tc>
                <w:tcPr>
                  <w:tcW w:w="662"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选址选线</w:t>
                  </w:r>
                </w:p>
              </w:tc>
              <w:tc>
                <w:tcPr>
                  <w:tcW w:w="3720" w:type="dxa"/>
                  <w:noWrap w:val="0"/>
                  <w:vAlign w:val="center"/>
                </w:tcPr>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①输变电建设项目选址选线应符合生态保护红线管控要求，避让自然保护区、饮用水水源保护区等环境敏感区。</w:t>
                  </w: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②变电工程在选址时应按终期规模综合考虑进出线走廊规划，避免进出线进入自然保护区、饮用水水源保护区等环境敏感区。③户外变电工程及规划架空进出线选址选线时，应关注以居住、医疗卫生、文化教育、科研、行政办公等为主要功能的区域，采取综合措施，减少电磁和声环境影响。④同一走廊内的多回输电线路，宜采取同塔多回架设、并行架设等形式，减少新开辟走廊，优化线路走廊间距，降低环境影响。</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⑤原则上避免在0类声环境功能区建设变电工程。</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⑥变电工程选址时，应综合考虑减少土地占用、植被砍伐和弃土弃渣等，以减少对生态环境的不利影响。</w:t>
                  </w:r>
                </w:p>
                <w:p>
                  <w:pPr>
                    <w:autoSpaceDE w:val="0"/>
                    <w:autoSpaceDN w:val="0"/>
                    <w:adjustRightInd w:val="0"/>
                    <w:snapToGrid w:val="0"/>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⑦输电线路宜避让集中林区，以减少林木砍伐，保护生态环境。</w:t>
                  </w:r>
                </w:p>
              </w:tc>
              <w:tc>
                <w:tcPr>
                  <w:tcW w:w="3220"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项目已避让自然保护区、饮用水源保护区等敏感区，不占用生态保护红线；集电线路采用电缆+架空方式，沿现有道路布设，优化路径避让林区；开关站位于次生灌木区，占地少、扰动小；不涉及0类声环境功能区；电磁与噪声影响均可控。</w:t>
                  </w:r>
                </w:p>
              </w:tc>
              <w:tc>
                <w:tcPr>
                  <w:tcW w:w="662"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电磁环境保护</w:t>
                  </w:r>
                </w:p>
              </w:tc>
              <w:tc>
                <w:tcPr>
                  <w:tcW w:w="3720" w:type="dxa"/>
                  <w:noWrap w:val="0"/>
                  <w:vAlign w:val="center"/>
                </w:tcPr>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①工程设计应对产生的工频电场、工频磁场、直流合成电场等电磁环境影响因子进行验算，采取相应防护措施，确保电磁环境影响满足国家标准要求。</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②输电线路设计应因地制宜选择线路型式、架设高度、杆塔塔型、导线参数、相序布置等，减少电磁环境影响。</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③架空输电线路经过电磁环境敏感目标时，应采取避让或增加导线对地高度等措施，减少电磁环境影响。</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④新建城市电力线路在市中心地区、高层建筑群区、市区主干路、人口密集区、繁华街道等区域应采用地下电缆，减少电磁环境影响。</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⑤变电工程的布置设计应考虑进出线对周围电磁环境的影响。</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⑥330kV及以上电压等级的输电线路出现交叉跨越或并行时，应考虑其对电磁环境敏感目标的综合影响。</w:t>
                  </w:r>
                </w:p>
              </w:tc>
              <w:tc>
                <w:tcPr>
                  <w:tcW w:w="3220" w:type="dxa"/>
                  <w:noWrap w:val="0"/>
                  <w:vAlign w:val="center"/>
                </w:tcPr>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项目为35kV电压等级，电磁影响小；经类比分析，工频电场、磁场满足GB8702-2014限值；开关站优化布置，周边无学校、医院等敏感目标；线路因地制宜选型，农村区域无密集建成区，不涉及330kV及以上线路。</w:t>
                  </w:r>
                </w:p>
              </w:tc>
              <w:tc>
                <w:tcPr>
                  <w:tcW w:w="662"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声环境保护</w:t>
                  </w:r>
                </w:p>
              </w:tc>
              <w:tc>
                <w:tcPr>
                  <w:tcW w:w="3720"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①</w:t>
                  </w:r>
                  <w:r>
                    <w:rPr>
                      <w:rFonts w:hint="eastAsia" w:ascii="仿宋" w:hAnsi="仿宋" w:eastAsia="仿宋" w:cs="仿宋"/>
                      <w:color w:val="000000" w:themeColor="text1"/>
                      <w:kern w:val="0"/>
                      <w:sz w:val="21"/>
                      <w:szCs w:val="21"/>
                      <w:highlight w:val="none"/>
                      <w14:textFill>
                        <w14:solidFill>
                          <w14:schemeClr w14:val="tx1"/>
                        </w14:solidFill>
                      </w14:textFill>
                    </w:rPr>
                    <w:t>变电工程噪声控制设计应首先从噪声源强上进行控制，选择低噪声设备；对于声源上无法根治的噪声，应采用隔声、吸声、消声、防振、减振等降噪措施，确保厂界排放噪声和周围声环境敏感目标分别满足GB 12348和GB 3096要求</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p>
                <w:p>
                  <w:pPr>
                    <w:autoSpaceDE w:val="0"/>
                    <w:autoSpaceDN w:val="0"/>
                    <w:adjustRightInd w:val="0"/>
                    <w:snapToGrid w:val="0"/>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②</w:t>
                  </w:r>
                  <w:r>
                    <w:rPr>
                      <w:rFonts w:hint="eastAsia" w:ascii="仿宋" w:hAnsi="仿宋" w:eastAsia="仿宋" w:cs="仿宋"/>
                      <w:color w:val="000000" w:themeColor="text1"/>
                      <w:kern w:val="0"/>
                      <w:sz w:val="21"/>
                      <w:szCs w:val="21"/>
                      <w:highlight w:val="none"/>
                      <w14:textFill>
                        <w14:solidFill>
                          <w14:schemeClr w14:val="tx1"/>
                        </w14:solidFill>
                      </w14:textFill>
                    </w:rPr>
                    <w:t>户外变电工程总体布置应综合考虑声环境影响因素，合理规划，利用建筑物、地形等阻挡噪声传播，减少对声环境敏感目标的影响</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p>
                <w:p>
                  <w:pPr>
                    <w:autoSpaceDE w:val="0"/>
                    <w:autoSpaceDN w:val="0"/>
                    <w:adjustRightInd w:val="0"/>
                    <w:snapToGrid w:val="0"/>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③</w:t>
                  </w:r>
                  <w:r>
                    <w:rPr>
                      <w:rFonts w:hint="eastAsia" w:ascii="仿宋" w:hAnsi="仿宋" w:eastAsia="仿宋" w:cs="仿宋"/>
                      <w:color w:val="000000" w:themeColor="text1"/>
                      <w:kern w:val="0"/>
                      <w:sz w:val="21"/>
                      <w:szCs w:val="21"/>
                      <w:highlight w:val="none"/>
                      <w14:textFill>
                        <w14:solidFill>
                          <w14:schemeClr w14:val="tx1"/>
                        </w14:solidFill>
                      </w14:textFill>
                    </w:rPr>
                    <w:t>户外变电工程在设计过程中应进行平面布置优化，将主变压器、换流变压器、高压电抗器等主要声源设备布置在站址中央区域或远离站外声环境敏感目标侧的区域</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p>
                <w:p>
                  <w:pPr>
                    <w:autoSpaceDE w:val="0"/>
                    <w:autoSpaceDN w:val="0"/>
                    <w:adjustRightInd w:val="0"/>
                    <w:snapToGrid w:val="0"/>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④</w:t>
                  </w:r>
                  <w:r>
                    <w:rPr>
                      <w:rFonts w:hint="eastAsia" w:ascii="仿宋" w:hAnsi="仿宋" w:eastAsia="仿宋" w:cs="仿宋"/>
                      <w:color w:val="000000" w:themeColor="text1"/>
                      <w:kern w:val="0"/>
                      <w:sz w:val="21"/>
                      <w:szCs w:val="21"/>
                      <w:highlight w:val="none"/>
                      <w14:textFill>
                        <w14:solidFill>
                          <w14:schemeClr w14:val="tx1"/>
                        </w14:solidFill>
                      </w14:textFill>
                    </w:rPr>
                    <w:t>变电工程位于</w:t>
                  </w:r>
                  <w:r>
                    <w:rPr>
                      <w:rFonts w:hint="eastAsia" w:ascii="仿宋" w:hAnsi="仿宋" w:eastAsia="仿宋" w:cs="仿宋"/>
                      <w:color w:val="000000" w:themeColor="text1"/>
                      <w:kern w:val="0"/>
                      <w:sz w:val="21"/>
                      <w:szCs w:val="21"/>
                      <w:highlight w:val="none"/>
                      <w:lang w:eastAsia="zh-CN"/>
                      <w14:textFill>
                        <w14:solidFill>
                          <w14:schemeClr w14:val="tx1"/>
                        </w14:solidFill>
                      </w14:textFill>
                    </w:rPr>
                    <w:t>Ⅰ类</w:t>
                  </w:r>
                  <w:r>
                    <w:rPr>
                      <w:rFonts w:hint="eastAsia" w:ascii="仿宋" w:hAnsi="仿宋" w:eastAsia="仿宋" w:cs="仿宋"/>
                      <w:color w:val="000000" w:themeColor="text1"/>
                      <w:kern w:val="0"/>
                      <w:sz w:val="21"/>
                      <w:szCs w:val="21"/>
                      <w:highlight w:val="none"/>
                      <w14:textFill>
                        <w14:solidFill>
                          <w14:schemeClr w14:val="tx1"/>
                        </w14:solidFill>
                      </w14:textFill>
                    </w:rPr>
                    <w:t>或周围噪声敏感建筑物较多的2类声环境功能区时，建设单位应严格控制主变压器、换流变压器、高压电抗器等主要噪声源的噪声水平，并在满足GB 12348的基础上保留适当裕度</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p>
                <w:p>
                  <w:pPr>
                    <w:autoSpaceDE w:val="0"/>
                    <w:autoSpaceDN w:val="0"/>
                    <w:adjustRightInd w:val="0"/>
                    <w:snapToGrid w:val="0"/>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⑤</w:t>
                  </w:r>
                  <w:r>
                    <w:rPr>
                      <w:rFonts w:hint="eastAsia" w:ascii="仿宋" w:hAnsi="仿宋" w:eastAsia="仿宋" w:cs="仿宋"/>
                      <w:color w:val="000000" w:themeColor="text1"/>
                      <w:kern w:val="0"/>
                      <w:sz w:val="21"/>
                      <w:szCs w:val="21"/>
                      <w:highlight w:val="none"/>
                      <w14:textFill>
                        <w14:solidFill>
                          <w14:schemeClr w14:val="tx1"/>
                        </w14:solidFill>
                      </w14:textFill>
                    </w:rPr>
                    <w:t>位于城市规划区</w:t>
                  </w:r>
                  <w:r>
                    <w:rPr>
                      <w:rFonts w:hint="eastAsia" w:ascii="仿宋" w:hAnsi="仿宋" w:eastAsia="仿宋" w:cs="仿宋"/>
                      <w:color w:val="000000" w:themeColor="text1"/>
                      <w:kern w:val="0"/>
                      <w:sz w:val="21"/>
                      <w:szCs w:val="21"/>
                      <w:highlight w:val="none"/>
                      <w:lang w:eastAsia="zh-CN"/>
                      <w14:textFill>
                        <w14:solidFill>
                          <w14:schemeClr w14:val="tx1"/>
                        </w14:solidFill>
                      </w14:textFill>
                    </w:rPr>
                    <w:t>Ⅰ类</w:t>
                  </w:r>
                  <w:r>
                    <w:rPr>
                      <w:rFonts w:hint="eastAsia" w:ascii="仿宋" w:hAnsi="仿宋" w:eastAsia="仿宋" w:cs="仿宋"/>
                      <w:color w:val="000000" w:themeColor="text1"/>
                      <w:kern w:val="0"/>
                      <w:sz w:val="21"/>
                      <w:szCs w:val="21"/>
                      <w:highlight w:val="none"/>
                      <w14:textFill>
                        <w14:solidFill>
                          <w14:schemeClr w14:val="tx1"/>
                        </w14:solidFill>
                      </w14:textFill>
                    </w:rPr>
                    <w:t>声环境功能区的变电站应采用全户内布置方式。位于城市规划区其他声环境功能区的变电工程，可采取户内、半户内等环境影响较小的布置型式。</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⑥</w:t>
                  </w:r>
                  <w:r>
                    <w:rPr>
                      <w:rFonts w:hint="eastAsia" w:ascii="仿宋" w:hAnsi="仿宋" w:eastAsia="仿宋" w:cs="仿宋"/>
                      <w:color w:val="000000" w:themeColor="text1"/>
                      <w:kern w:val="0"/>
                      <w:sz w:val="21"/>
                      <w:szCs w:val="21"/>
                      <w:highlight w:val="none"/>
                      <w14:textFill>
                        <w14:solidFill>
                          <w14:schemeClr w14:val="tx1"/>
                        </w14:solidFill>
                      </w14:textFill>
                    </w:rPr>
                    <w:t>变电工程应采取降低低频噪声影响的防治措施，以减少噪声扰民</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p>
              </w:tc>
              <w:tc>
                <w:tcPr>
                  <w:tcW w:w="3220"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开关站主变及电气设备均选用低噪声产品，水泵等设减振措施；总平面将主变布置于站区中央，远离敏感点；周边居民点噪声预测达标；位于农村地区，不属于城市规划Ⅰ类声功能区；通过设备选型与合理布局控制噪声影响。</w:t>
                  </w:r>
                </w:p>
              </w:tc>
              <w:tc>
                <w:tcPr>
                  <w:tcW w:w="662"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生态环境保护</w:t>
                  </w:r>
                </w:p>
              </w:tc>
              <w:tc>
                <w:tcPr>
                  <w:tcW w:w="3720" w:type="dxa"/>
                  <w:noWrap w:val="0"/>
                  <w:vAlign w:val="center"/>
                </w:tcPr>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①输变电建设项目在设计过程中应按照避让、减缓、恢复的次序提出生态影响防护与恢复的措施；②</w:t>
                  </w:r>
                  <w:r>
                    <w:rPr>
                      <w:rFonts w:hint="eastAsia" w:ascii="仿宋" w:hAnsi="仿宋" w:eastAsia="仿宋" w:cs="仿宋"/>
                      <w:color w:val="000000" w:themeColor="text1"/>
                      <w:kern w:val="0"/>
                      <w:sz w:val="21"/>
                      <w:szCs w:val="21"/>
                      <w:highlight w:val="none"/>
                      <w14:textFill>
                        <w14:solidFill>
                          <w14:schemeClr w14:val="tx1"/>
                        </w14:solidFill>
                      </w14:textFill>
                    </w:rPr>
                    <w:t>因地制宜合理选择塔基基础,在山丘区应采用全方位长短腿与不等高基础设计，以减少土石方开挖。输电线路无法避让集中林区时，应采取控制导线高度设计，以减少林木砍伐，保护生态环境</w:t>
                  </w:r>
                  <w:r>
                    <w:rPr>
                      <w:rFonts w:hint="eastAsia" w:ascii="仿宋" w:hAnsi="仿宋" w:eastAsia="仿宋" w:cs="仿宋"/>
                      <w:color w:val="000000" w:themeColor="text1"/>
                      <w:kern w:val="0"/>
                      <w:sz w:val="21"/>
                      <w:szCs w:val="21"/>
                      <w:highlight w:val="none"/>
                      <w:lang w:eastAsia="zh-CN"/>
                      <w14:textFill>
                        <w14:solidFill>
                          <w14:schemeClr w14:val="tx1"/>
                        </w14:solidFill>
                      </w14:textFill>
                    </w:rPr>
                    <w:t>；③</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输电线路</w:t>
                  </w:r>
                  <w:r>
                    <w:rPr>
                      <w:rFonts w:hint="eastAsia" w:ascii="仿宋" w:hAnsi="仿宋" w:eastAsia="仿宋" w:cs="仿宋"/>
                      <w:color w:val="000000" w:themeColor="text1"/>
                      <w:kern w:val="0"/>
                      <w:sz w:val="21"/>
                      <w:szCs w:val="21"/>
                      <w:highlight w:val="none"/>
                      <w14:textFill>
                        <w14:solidFill>
                          <w14:schemeClr w14:val="tx1"/>
                        </w14:solidFill>
                      </w14:textFill>
                    </w:rPr>
                    <w:t>临时占地，应因地制宜进行土地功能恢复设计</w:t>
                  </w:r>
                  <w:r>
                    <w:rPr>
                      <w:rFonts w:hint="eastAsia" w:ascii="仿宋" w:hAnsi="仿宋" w:eastAsia="仿宋" w:cs="仿宋"/>
                      <w:color w:val="000000" w:themeColor="text1"/>
                      <w:kern w:val="0"/>
                      <w:sz w:val="21"/>
                      <w:szCs w:val="21"/>
                      <w:highlight w:val="none"/>
                      <w:lang w:eastAsia="zh-CN"/>
                      <w14:textFill>
                        <w14:solidFill>
                          <w14:schemeClr w14:val="tx1"/>
                        </w14:solidFill>
                      </w14:textFill>
                    </w:rPr>
                    <w:t>；④进入自然保护区的输电线路，应根据生态现状调查结果，制定相应的保护方案。塔基定位应避让珍稀濒危物种、保护植物和保护动物的栖息地，根据保护对象的特性设计相应的生态环境保护措施、设施等</w:t>
                  </w:r>
                  <w: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t>。</w:t>
                  </w:r>
                </w:p>
              </w:tc>
              <w:tc>
                <w:tcPr>
                  <w:tcW w:w="3220"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项目设计阶段已避让生态敏感区，提出生态防护与植被恢复措施；集电线路塔基采用差异化基础，减少土石方开挖；电缆沿道路敷设，减少林木砍伐；施工结束后临时占地全部恢复植被；不涉及自然保护区及珍稀物种栖息地。</w:t>
                  </w:r>
                </w:p>
              </w:tc>
              <w:tc>
                <w:tcPr>
                  <w:tcW w:w="662"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48"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水环境保护</w:t>
                  </w:r>
                </w:p>
              </w:tc>
              <w:tc>
                <w:tcPr>
                  <w:tcW w:w="3720" w:type="dxa"/>
                  <w:noWrap w:val="0"/>
                  <w:vAlign w:val="center"/>
                </w:tcPr>
                <w:p>
                  <w:pPr>
                    <w:autoSpaceDE w:val="0"/>
                    <w:autoSpaceDN w:val="0"/>
                    <w:adjustRightInd w:val="0"/>
                    <w:snapToGrid w:val="0"/>
                    <w:rPr>
                      <w:rFonts w:hint="eastAsia" w:ascii="仿宋" w:hAnsi="仿宋" w:eastAsia="仿宋" w:cs="仿宋"/>
                      <w:b w:val="0"/>
                      <w:bCs w:val="0"/>
                      <w:color w:val="000000" w:themeColor="text1"/>
                      <w:spacing w:val="-1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pacing w:val="-11"/>
                      <w:kern w:val="0"/>
                      <w:sz w:val="21"/>
                      <w:szCs w:val="21"/>
                      <w:highlight w:val="none"/>
                      <w:lang w:val="en-US" w:eastAsia="zh-CN" w:bidi="ar-SA"/>
                      <w14:textFill>
                        <w14:solidFill>
                          <w14:schemeClr w14:val="tx1"/>
                        </w14:solidFill>
                      </w14:textFill>
                    </w:rPr>
                    <w:t>①变电工程应采取节水措施，加强水的重复利用，减少废（污）水排放。雨水和生活污水应采取分流制；</w:t>
                  </w:r>
                </w:p>
                <w:p>
                  <w:pPr>
                    <w:autoSpaceDE w:val="0"/>
                    <w:autoSpaceDN w:val="0"/>
                    <w:adjustRightInd w:val="0"/>
                    <w:snapToGrid w:val="0"/>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pacing w:val="-11"/>
                      <w:kern w:val="0"/>
                      <w:sz w:val="21"/>
                      <w:szCs w:val="21"/>
                      <w:highlight w:val="none"/>
                      <w:lang w:val="en-US" w:eastAsia="zh-CN" w:bidi="ar-SA"/>
                      <w14:textFill>
                        <w14:solidFill>
                          <w14:schemeClr w14:val="tx1"/>
                        </w14:solidFill>
                      </w14:textFill>
                    </w:rPr>
                    <w:t>②</w:t>
                  </w:r>
                  <w:r>
                    <w:rPr>
                      <w:rFonts w:hint="eastAsia" w:ascii="仿宋" w:hAnsi="仿宋" w:eastAsia="仿宋" w:cs="仿宋"/>
                      <w:color w:val="000000" w:themeColor="text1"/>
                      <w:spacing w:val="-11"/>
                      <w:kern w:val="0"/>
                      <w:sz w:val="21"/>
                      <w:szCs w:val="21"/>
                      <w:highlight w:val="none"/>
                      <w14:textFill>
                        <w14:solidFill>
                          <w14:schemeClr w14:val="tx1"/>
                        </w14:solidFill>
                      </w14:textFill>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r>
                    <w:rPr>
                      <w:rFonts w:hint="eastAsia" w:ascii="仿宋" w:hAnsi="仿宋" w:eastAsia="仿宋" w:cs="仿宋"/>
                      <w:b w:val="0"/>
                      <w:bCs w:val="0"/>
                      <w:color w:val="000000" w:themeColor="text1"/>
                      <w:spacing w:val="-11"/>
                      <w:kern w:val="0"/>
                      <w:sz w:val="21"/>
                      <w:szCs w:val="21"/>
                      <w:highlight w:val="none"/>
                      <w:lang w:val="en-US" w:eastAsia="zh-CN" w:bidi="ar-SA"/>
                      <w14:textFill>
                        <w14:solidFill>
                          <w14:schemeClr w14:val="tx1"/>
                        </w14:solidFill>
                      </w14:textFill>
                    </w:rPr>
                    <w:t>。</w:t>
                  </w:r>
                </w:p>
              </w:tc>
              <w:tc>
                <w:tcPr>
                  <w:tcW w:w="3220" w:type="dxa"/>
                  <w:noWrap w:val="0"/>
                  <w:vAlign w:val="center"/>
                </w:tcPr>
                <w:p>
                  <w:pPr>
                    <w:numPr>
                      <w:ilvl w:val="0"/>
                      <w:numId w:val="0"/>
                    </w:numPr>
                    <w:autoSpaceDE w:val="0"/>
                    <w:autoSpaceDN w:val="0"/>
                    <w:adjustRightInd w:val="0"/>
                    <w:snapToGrid w:val="0"/>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①本项目</w:t>
                  </w:r>
                  <w:r>
                    <w:rPr>
                      <w:rFonts w:hint="eastAsia" w:ascii="仿宋" w:hAnsi="仿宋" w:eastAsia="仿宋" w:cs="仿宋"/>
                      <w:color w:val="000000" w:themeColor="text1"/>
                      <w:kern w:val="0"/>
                      <w:sz w:val="21"/>
                      <w:szCs w:val="21"/>
                      <w:highlight w:val="none"/>
                      <w:lang w:eastAsia="zh-CN"/>
                      <w14:textFill>
                        <w14:solidFill>
                          <w14:schemeClr w14:val="tx1"/>
                        </w14:solidFill>
                      </w14:textFill>
                    </w:rPr>
                    <w:t>开关站</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采取</w:t>
                  </w:r>
                  <w:r>
                    <w:rPr>
                      <w:rFonts w:hint="eastAsia" w:ascii="仿宋" w:hAnsi="仿宋" w:eastAsia="仿宋" w:cs="仿宋"/>
                      <w:color w:val="000000" w:themeColor="text1"/>
                      <w:kern w:val="0"/>
                      <w:sz w:val="21"/>
                      <w:szCs w:val="21"/>
                      <w:highlight w:val="none"/>
                      <w14:textFill>
                        <w14:solidFill>
                          <w14:schemeClr w14:val="tx1"/>
                        </w14:solidFill>
                      </w14:textFill>
                    </w:rPr>
                    <w:t>雨污分流。</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运营期</w:t>
                  </w:r>
                  <w:r>
                    <w:rPr>
                      <w:rFonts w:hint="eastAsia" w:ascii="仿宋" w:hAnsi="仿宋" w:eastAsia="仿宋" w:cs="仿宋"/>
                      <w:color w:val="000000" w:themeColor="text1"/>
                      <w:kern w:val="0"/>
                      <w:sz w:val="21"/>
                      <w:szCs w:val="21"/>
                      <w:highlight w:val="none"/>
                      <w14:textFill>
                        <w14:solidFill>
                          <w14:schemeClr w14:val="tx1"/>
                        </w14:solidFill>
                      </w14:textFill>
                    </w:rPr>
                    <w:t>污</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废</w:t>
                  </w:r>
                  <w:r>
                    <w:rPr>
                      <w:rFonts w:hint="eastAsia" w:ascii="仿宋" w:hAnsi="仿宋" w:eastAsia="仿宋" w:cs="仿宋"/>
                      <w:color w:val="000000" w:themeColor="text1"/>
                      <w:kern w:val="0"/>
                      <w:sz w:val="21"/>
                      <w:szCs w:val="21"/>
                      <w:highlight w:val="none"/>
                      <w14:textFill>
                        <w14:solidFill>
                          <w14:schemeClr w14:val="tx1"/>
                        </w14:solidFill>
                      </w14:textFill>
                    </w:rPr>
                    <w:t>水经收集处理后全部回用，不外排</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p>
                <w:p>
                  <w:pPr>
                    <w:numPr>
                      <w:ilvl w:val="0"/>
                      <w:numId w:val="0"/>
                    </w:num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②</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本</w:t>
                  </w:r>
                  <w:r>
                    <w:rPr>
                      <w:rFonts w:hint="eastAsia" w:ascii="仿宋" w:hAnsi="仿宋" w:eastAsia="仿宋" w:cs="仿宋"/>
                      <w:color w:val="000000" w:themeColor="text1"/>
                      <w:kern w:val="0"/>
                      <w:sz w:val="21"/>
                      <w:szCs w:val="21"/>
                      <w:highlight w:val="none"/>
                      <w:lang w:eastAsia="zh-CN"/>
                      <w14:textFill>
                        <w14:solidFill>
                          <w14:schemeClr w14:val="tx1"/>
                        </w14:solidFill>
                      </w14:textFill>
                    </w:rPr>
                    <w:t>项目开关站</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位于农村地区，区域无城市污水管网分布，</w:t>
                  </w:r>
                  <w:r>
                    <w:rPr>
                      <w:rFonts w:hint="eastAsia" w:ascii="仿宋" w:hAnsi="仿宋" w:eastAsia="仿宋" w:cs="仿宋"/>
                      <w:color w:val="000000" w:themeColor="text1"/>
                      <w:kern w:val="0"/>
                      <w:sz w:val="21"/>
                      <w:szCs w:val="21"/>
                      <w:highlight w:val="none"/>
                      <w14:textFill>
                        <w14:solidFill>
                          <w14:schemeClr w14:val="tx1"/>
                        </w14:solidFill>
                      </w14:textFill>
                    </w:rPr>
                    <w:t>不具备纳入城市污水管网条件</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开关站</w:t>
                  </w:r>
                  <w:r>
                    <w:rPr>
                      <w:rFonts w:hint="eastAsia" w:ascii="仿宋" w:hAnsi="仿宋" w:eastAsia="仿宋" w:cs="仿宋"/>
                      <w:color w:val="000000" w:themeColor="text1"/>
                      <w:kern w:val="0"/>
                      <w:sz w:val="21"/>
                      <w:szCs w:val="21"/>
                      <w:highlight w:val="none"/>
                      <w:lang w:eastAsia="zh-CN"/>
                      <w14:textFill>
                        <w14:solidFill>
                          <w14:schemeClr w14:val="tx1"/>
                        </w14:solidFill>
                      </w14:textFill>
                    </w:rPr>
                    <w:t>内设置隔油池、化粪池、</w:t>
                  </w:r>
                  <w:r>
                    <w:rPr>
                      <w:rFonts w:hint="eastAsia" w:ascii="仿宋" w:hAnsi="仿宋" w:eastAsia="仿宋" w:cs="仿宋"/>
                      <w:color w:val="000000" w:themeColor="text1"/>
                      <w:kern w:val="0"/>
                      <w:sz w:val="21"/>
                      <w:szCs w:val="21"/>
                      <w:highlight w:val="none"/>
                      <w14:textFill>
                        <w14:solidFill>
                          <w14:schemeClr w14:val="tx1"/>
                        </w14:solidFill>
                      </w14:textFill>
                    </w:rPr>
                    <w:t>污水处理装置</w:t>
                  </w:r>
                  <w:r>
                    <w:rPr>
                      <w:rFonts w:hint="eastAsia" w:ascii="仿宋" w:hAnsi="仿宋" w:eastAsia="仿宋" w:cs="仿宋"/>
                      <w:color w:val="000000" w:themeColor="text1"/>
                      <w:kern w:val="0"/>
                      <w:sz w:val="21"/>
                      <w:szCs w:val="21"/>
                      <w:highlight w:val="none"/>
                      <w:lang w:eastAsia="zh-CN"/>
                      <w14:textFill>
                        <w14:solidFill>
                          <w14:schemeClr w14:val="tx1"/>
                        </w14:solidFill>
                      </w14:textFill>
                    </w:rPr>
                    <w:t>及回用水池</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等污水处理设施</w:t>
                  </w:r>
                  <w:r>
                    <w:rPr>
                      <w:rFonts w:hint="eastAsia" w:ascii="仿宋" w:hAnsi="仿宋" w:eastAsia="仿宋" w:cs="仿宋"/>
                      <w:color w:val="000000" w:themeColor="text1"/>
                      <w:kern w:val="0"/>
                      <w:sz w:val="21"/>
                      <w:szCs w:val="21"/>
                      <w:highlight w:val="none"/>
                      <w:lang w:eastAsia="zh-CN"/>
                      <w14:textFill>
                        <w14:solidFill>
                          <w14:schemeClr w14:val="tx1"/>
                        </w14:solidFill>
                      </w14:textFill>
                    </w:rPr>
                    <w:t>，生活污水</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经</w:t>
                  </w:r>
                  <w:r>
                    <w:rPr>
                      <w:rFonts w:hint="eastAsia" w:ascii="仿宋" w:hAnsi="仿宋" w:eastAsia="仿宋" w:cs="仿宋"/>
                      <w:color w:val="000000" w:themeColor="text1"/>
                      <w:kern w:val="0"/>
                      <w:sz w:val="21"/>
                      <w:szCs w:val="21"/>
                      <w:highlight w:val="none"/>
                      <w:lang w:eastAsia="zh-CN"/>
                      <w14:textFill>
                        <w14:solidFill>
                          <w14:schemeClr w14:val="tx1"/>
                        </w14:solidFill>
                      </w14:textFill>
                    </w:rPr>
                    <w:t>处理</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回用，不外排</w:t>
                  </w: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p>
              </w:tc>
              <w:tc>
                <w:tcPr>
                  <w:tcW w:w="662" w:type="dxa"/>
                  <w:noWrap w:val="0"/>
                  <w:vAlign w:val="center"/>
                </w:tcPr>
                <w:p>
                  <w:pPr>
                    <w:autoSpaceDE w:val="0"/>
                    <w:autoSpaceDN w:val="0"/>
                    <w:adjustRightInd w:val="0"/>
                    <w:snapToGrid w:val="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符合</w:t>
                  </w:r>
                </w:p>
              </w:tc>
            </w:tr>
          </w:tbl>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根据</w:t>
            </w:r>
            <w:r>
              <w:rPr>
                <w:rFonts w:hint="default" w:ascii="仿宋" w:hAnsi="仿宋" w:eastAsia="仿宋" w:cs="仿宋"/>
                <w:color w:val="000000" w:themeColor="text1"/>
                <w:sz w:val="24"/>
                <w:highlight w:val="none"/>
                <w:lang w:val="en-US" w:eastAsia="zh-CN"/>
                <w14:textFill>
                  <w14:solidFill>
                    <w14:schemeClr w14:val="tx1"/>
                  </w14:solidFill>
                </w14:textFill>
              </w:rPr>
              <w:t>上表</w:t>
            </w:r>
            <w:r>
              <w:rPr>
                <w:rFonts w:hint="default" w:ascii="仿宋" w:hAnsi="仿宋" w:eastAsia="仿宋" w:cs="仿宋"/>
                <w:color w:val="000000" w:themeColor="text1"/>
                <w:sz w:val="24"/>
                <w:highlight w:val="none"/>
                <w:lang w:eastAsia="zh-CN"/>
                <w14:textFill>
                  <w14:solidFill>
                    <w14:schemeClr w14:val="tx1"/>
                  </w14:solidFill>
                </w14:textFill>
              </w:rPr>
              <w:t>分析，</w:t>
            </w:r>
            <w:r>
              <w:rPr>
                <w:rFonts w:hint="default" w:ascii="仿宋" w:hAnsi="仿宋" w:eastAsia="仿宋" w:cs="仿宋"/>
                <w:color w:val="000000" w:themeColor="text1"/>
                <w:sz w:val="24"/>
                <w:highlight w:val="none"/>
                <w:lang w:val="en-US" w:eastAsia="zh-CN"/>
                <w14:textFill>
                  <w14:solidFill>
                    <w14:schemeClr w14:val="tx1"/>
                  </w14:solidFill>
                </w14:textFill>
              </w:rPr>
              <w:t>经采取主体工程设计、本次环评及水保方案提出的相关措施后，</w:t>
            </w:r>
            <w:r>
              <w:rPr>
                <w:rFonts w:hint="default" w:ascii="仿宋" w:hAnsi="仿宋" w:eastAsia="仿宋" w:cs="仿宋"/>
                <w:color w:val="000000" w:themeColor="text1"/>
                <w:sz w:val="24"/>
                <w:highlight w:val="none"/>
                <w:lang w:eastAsia="zh-CN"/>
                <w14:textFill>
                  <w14:solidFill>
                    <w14:schemeClr w14:val="tx1"/>
                  </w14:solidFill>
                </w14:textFill>
              </w:rPr>
              <w:t>项目与《输变电建设项目环境保护技术要求》（HJ1113-2020）的相关要求相符合。</w:t>
            </w:r>
          </w:p>
          <w:p>
            <w:pPr>
              <w:widowControl w:val="0"/>
              <w:spacing w:line="360" w:lineRule="auto"/>
              <w:ind w:firstLine="48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十四、与《云南省主体功能区规划》中限制开发区的开发和管控要求的相符性分析</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（1）与云南省限制开发区域的符合性分析</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项目位于</w:t>
            </w:r>
            <w:r>
              <w:rPr>
                <w:rFonts w:hint="eastAsia" w:ascii="仿宋" w:hAnsi="仿宋" w:eastAsia="仿宋" w:cs="仿宋"/>
                <w:color w:val="000000" w:themeColor="text1"/>
                <w:sz w:val="24"/>
                <w:highlight w:val="none"/>
                <w:lang w:val="en-US" w:eastAsia="zh-CN"/>
                <w14:textFill>
                  <w14:solidFill>
                    <w14:schemeClr w14:val="tx1"/>
                  </w14:solidFill>
                </w14:textFill>
              </w:rPr>
              <w:t>大理州弥渡县</w:t>
            </w:r>
            <w:r>
              <w:rPr>
                <w:rFonts w:hint="default" w:ascii="仿宋" w:hAnsi="仿宋" w:eastAsia="仿宋" w:cs="仿宋"/>
                <w:color w:val="000000" w:themeColor="text1"/>
                <w:sz w:val="24"/>
                <w:highlight w:val="none"/>
                <w:lang w:eastAsia="zh-CN"/>
                <w14:textFill>
                  <w14:solidFill>
                    <w14:schemeClr w14:val="tx1"/>
                  </w14:solidFill>
                </w14:textFill>
              </w:rPr>
              <w:t>，对照《云南省主体功能规划》（云政发（2014）1号），属于云南省</w:t>
            </w:r>
            <w:r>
              <w:rPr>
                <w:rFonts w:hint="eastAsia" w:ascii="仿宋" w:hAnsi="仿宋" w:eastAsia="仿宋" w:cs="仿宋"/>
                <w:color w:val="000000" w:themeColor="text1"/>
                <w:sz w:val="24"/>
                <w:highlight w:val="none"/>
                <w:lang w:val="en-US" w:eastAsia="zh-CN"/>
                <w14:textFill>
                  <w14:solidFill>
                    <w14:schemeClr w14:val="tx1"/>
                  </w14:solidFill>
                </w14:textFill>
              </w:rPr>
              <w:t>省级重点开发区域。</w:t>
            </w:r>
            <w:r>
              <w:rPr>
                <w:rFonts w:hint="default" w:ascii="仿宋" w:hAnsi="仿宋" w:eastAsia="仿宋" w:cs="仿宋"/>
                <w:color w:val="000000" w:themeColor="text1"/>
                <w:sz w:val="24"/>
                <w:highlight w:val="none"/>
                <w:lang w:eastAsia="zh-CN"/>
                <w14:textFill>
                  <w14:solidFill>
                    <w14:schemeClr w14:val="tx1"/>
                  </w14:solidFill>
                </w14:textFill>
              </w:rPr>
              <w:t>省级重点开发区域是云南省工业化、城镇化和经济集聚发展的主体空间，是全省重要的人口和经济增长极，承担着引领区域协调发展、增强综合实力、提升核心竞争力、推动新型城镇化和工业化进程的战略任务，同时也是承接国内外产业转移、扩大对外开放、促进区域创新发展的重要载体。</w:t>
            </w:r>
          </w:p>
          <w:p>
            <w:pPr>
              <w:bidi w:val="0"/>
              <w:ind w:left="0" w:leftChars="0" w:firstLine="0" w:firstLineChars="0"/>
              <w:rPr>
                <w:rFonts w:hint="eastAsia" w:eastAsia="宋体"/>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306070</wp:posOffset>
                      </wp:positionH>
                      <wp:positionV relativeFrom="paragraph">
                        <wp:posOffset>2515870</wp:posOffset>
                      </wp:positionV>
                      <wp:extent cx="919480" cy="275590"/>
                      <wp:effectExtent l="5080" t="4445" r="8890" b="5715"/>
                      <wp:wrapNone/>
                      <wp:docPr id="22" name="文本框 22"/>
                      <wp:cNvGraphicFramePr/>
                      <a:graphic xmlns:a="http://schemas.openxmlformats.org/drawingml/2006/main">
                        <a:graphicData uri="http://schemas.microsoft.com/office/word/2010/wordprocessingShape">
                          <wps:wsp>
                            <wps:cNvSpPr txBox="1"/>
                            <wps:spPr>
                              <a:xfrm>
                                <a:off x="2442210" y="3618865"/>
                                <a:ext cx="919480" cy="275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pt;margin-top:198.1pt;height:21.7pt;width:72.4pt;z-index:251660288;mso-width-relative:page;mso-height-relative:page;" fillcolor="#FFFFFF [3201]" filled="t" stroked="t" coordsize="21600,21600" o:gfxdata="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9l6QNUAAAAKAQAADwAAAAAAAAABACAAAAAiAAAAZHJzL2Rvd25yZXYueG1sUEsBAhQA&#10;FAAAAAgAh07iQIuHalJnAgAAxAQAAA4AAAAAAAAAAQAgAAAAJAEAAGRycy9lMm9Eb2MueG1sUEsF&#10;BgAAAAAGAAYAWQEAAP0FAAAAAA==&#10;">
                      <v:fill on="t" focussize="0,0"/>
                      <v:stroke weight="0.5pt" color="#000000 [3204]" joinstyle="round"/>
                      <v:imagedata o:title=""/>
                      <o:lock v:ext="edit" aspectratio="f"/>
                      <v:textbox>
                        <w:txbxContent>
                          <w:p>
                            <w:pPr>
                              <w:rPr>
                                <w:rFonts w:hint="eastAsia" w:eastAsia="宋体"/>
                                <w:lang w:eastAsia="zh-CN"/>
                              </w:rPr>
                            </w:pPr>
                            <w:r>
                              <w:rPr>
                                <w:rFonts w:hint="eastAsia"/>
                                <w:b/>
                                <w:bCs/>
                                <w:color w:val="FF0000"/>
                                <w:lang w:eastAsia="zh-CN"/>
                              </w:rPr>
                              <w:t>项目所在地</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1078230</wp:posOffset>
                      </wp:positionH>
                      <wp:positionV relativeFrom="paragraph">
                        <wp:posOffset>1668145</wp:posOffset>
                      </wp:positionV>
                      <wp:extent cx="876300" cy="823595"/>
                      <wp:effectExtent l="8890" t="0" r="10160" b="14605"/>
                      <wp:wrapNone/>
                      <wp:docPr id="2" name="直接箭头连接符 2"/>
                      <wp:cNvGraphicFramePr/>
                      <a:graphic xmlns:a="http://schemas.openxmlformats.org/drawingml/2006/main">
                        <a:graphicData uri="http://schemas.microsoft.com/office/word/2010/wordprocessingShape">
                          <wps:wsp>
                            <wps:cNvCnPr/>
                            <wps:spPr>
                              <a:xfrm flipV="1">
                                <a:off x="2799715" y="2771140"/>
                                <a:ext cx="876300" cy="8235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4.9pt;margin-top:131.35pt;height:64.85pt;width:69pt;z-index:251659264;mso-width-relative:page;mso-height-relative:page;" filled="f" stroked="t" coordsize="21600,21600" o:gfxdata="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ZBjb2QAAAAsBAAAPAAAAAAAA&#10;AAEAIAAAACIAAABkcnMvZG93bnJldi54bWxQSwECFAAUAAAACACHTuJAwb26WBECAADiAwAADgAA&#10;AAAAAAABACAAAAAoAQAAZHJzL2Uyb0RvYy54bWxQSwUGAAAAAAYABgBZAQAAqwUAAAAA&#10;">
                      <v:fill on="f" focussize="0,0"/>
                      <v:stroke weight="2pt" color="#FF0000 [3204]" joinstyle="round" endarrow="open"/>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4844415" cy="3385820"/>
                  <wp:effectExtent l="0" t="0" r="13335" b="50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4844415" cy="3385820"/>
                          </a:xfrm>
                          <a:prstGeom prst="rect">
                            <a:avLst/>
                          </a:prstGeom>
                          <a:noFill/>
                          <a:ln>
                            <a:noFill/>
                          </a:ln>
                        </pic:spPr>
                      </pic:pic>
                    </a:graphicData>
                  </a:graphic>
                </wp:inline>
              </w:drawing>
            </w:r>
          </w:p>
          <w:p>
            <w:pPr>
              <w:bidi w:val="0"/>
              <w:ind w:left="0" w:leftChars="0" w:firstLine="0" w:firstLineChars="0"/>
              <w:jc w:val="center"/>
              <w:rPr>
                <w:color w:val="000000" w:themeColor="text1"/>
                <w14:textFill>
                  <w14:solidFill>
                    <w14:schemeClr w14:val="tx1"/>
                  </w14:solidFill>
                </w14:textFill>
              </w:rPr>
            </w:pPr>
            <w:r>
              <w:rPr>
                <w:b/>
                <w:bCs/>
                <w:color w:val="000000" w:themeColor="text1"/>
                <w:highlight w:val="none"/>
                <w14:textFill>
                  <w14:solidFill>
                    <w14:schemeClr w14:val="tx1"/>
                  </w14:solidFill>
                </w14:textFill>
              </w:rPr>
              <w:t>图</w:t>
            </w:r>
            <w:r>
              <w:rPr>
                <w:rFonts w:hint="eastAsia"/>
                <w:b/>
                <w:bCs/>
                <w:color w:val="000000" w:themeColor="text1"/>
                <w:highlight w:val="none"/>
                <w:lang w:val="en-US" w:eastAsia="zh-CN"/>
                <w14:textFill>
                  <w14:solidFill>
                    <w14:schemeClr w14:val="tx1"/>
                  </w14:solidFill>
                </w14:textFill>
              </w:rPr>
              <w:t>1</w:t>
            </w:r>
            <w:r>
              <w:rPr>
                <w:b/>
                <w:bCs/>
                <w:color w:val="000000" w:themeColor="text1"/>
                <w:highlight w:val="none"/>
                <w14:textFill>
                  <w14:solidFill>
                    <w14:schemeClr w14:val="tx1"/>
                  </w14:solidFill>
                </w14:textFill>
              </w:rPr>
              <w:t>-1 项目与《云南省主体功能区规划》的位置关系图</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工程为</w:t>
            </w:r>
            <w:r>
              <w:rPr>
                <w:rFonts w:hint="eastAsia" w:ascii="仿宋" w:hAnsi="仿宋" w:eastAsia="仿宋" w:cs="仿宋"/>
                <w:color w:val="000000" w:themeColor="text1"/>
                <w:sz w:val="24"/>
                <w:highlight w:val="none"/>
                <w:lang w:val="en-US" w:eastAsia="zh-CN"/>
                <w14:textFill>
                  <w14:solidFill>
                    <w14:schemeClr w14:val="tx1"/>
                  </w14:solidFill>
                </w14:textFill>
              </w:rPr>
              <w:t>风力发电</w:t>
            </w:r>
            <w:r>
              <w:rPr>
                <w:rFonts w:hint="default" w:ascii="仿宋" w:hAnsi="仿宋" w:eastAsia="仿宋" w:cs="仿宋"/>
                <w:color w:val="000000" w:themeColor="text1"/>
                <w:sz w:val="24"/>
                <w:highlight w:val="none"/>
                <w:lang w:eastAsia="zh-CN"/>
                <w14:textFill>
                  <w14:solidFill>
                    <w14:schemeClr w14:val="tx1"/>
                  </w14:solidFill>
                </w14:textFill>
              </w:rPr>
              <w:t>项目，属于清洁能源与战略性新兴产业范畴，符合区域主导产业布局方向（“一主四辅”产业体系中的清洁能源辅助方向）。其建设可带动设备制造、电力运维、技术服务等关联产业发展，形成绿色能源产业链集群大理白族自治州人民政府，强化区域经济密度和创新能力，成为经济增长新动能。</w:t>
            </w:r>
            <w:r>
              <w:rPr>
                <w:rFonts w:hint="eastAsia" w:ascii="仿宋" w:hAnsi="仿宋" w:eastAsia="仿宋" w:cs="仿宋"/>
                <w:color w:val="000000" w:themeColor="text1"/>
                <w:sz w:val="24"/>
                <w:highlight w:val="none"/>
                <w:lang w:val="en-US" w:eastAsia="zh-CN"/>
                <w14:textFill>
                  <w14:solidFill>
                    <w14:schemeClr w14:val="tx1"/>
                  </w14:solidFill>
                </w14:textFill>
              </w:rPr>
              <w:t>本项目</w:t>
            </w:r>
            <w:r>
              <w:rPr>
                <w:rFonts w:hint="default" w:ascii="仿宋" w:hAnsi="仿宋" w:eastAsia="仿宋" w:cs="仿宋"/>
                <w:color w:val="000000" w:themeColor="text1"/>
                <w:sz w:val="24"/>
                <w:highlight w:val="none"/>
                <w:lang w:eastAsia="zh-CN"/>
                <w14:textFill>
                  <w14:solidFill>
                    <w14:schemeClr w14:val="tx1"/>
                  </w14:solidFill>
                </w14:textFill>
              </w:rPr>
              <w:t>是省级清洁能源开发的重要组成部分，依托大理州“绿色能源牌”战略及滇西城镇群协同机制（联动大理市、祥云县能源枢纽），可吸引国内外新能源企业投资，推动技术合作与跨境能源合作</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此外，项目符合“三区三线”的有关要求，不占用生态保护红线、永久基本农田等，项目的建设符合</w:t>
            </w:r>
            <w:r>
              <w:rPr>
                <w:rFonts w:hint="default" w:ascii="仿宋" w:hAnsi="仿宋" w:eastAsia="仿宋" w:cs="仿宋"/>
                <w:color w:val="000000" w:themeColor="text1"/>
                <w:sz w:val="24"/>
                <w:highlight w:val="none"/>
                <w:lang w:eastAsia="zh-CN"/>
                <w14:textFill>
                  <w14:solidFill>
                    <w14:schemeClr w14:val="tx1"/>
                  </w14:solidFill>
                </w14:textFill>
              </w:rPr>
              <w:t>规划中“土地、能源、水资源集约管理”</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default" w:ascii="仿宋" w:hAnsi="仿宋" w:eastAsia="仿宋" w:cs="仿宋"/>
                <w:color w:val="000000" w:themeColor="text1"/>
                <w:sz w:val="24"/>
                <w:highlight w:val="none"/>
                <w:lang w:eastAsia="zh-CN"/>
                <w14:textFill>
                  <w14:solidFill>
                    <w14:schemeClr w14:val="tx1"/>
                  </w14:solidFill>
                </w14:textFill>
              </w:rPr>
              <w:t>要求。</w:t>
            </w:r>
            <w:r>
              <w:rPr>
                <w:rFonts w:hint="eastAsia" w:ascii="仿宋" w:hAnsi="仿宋" w:eastAsia="仿宋" w:cs="仿宋"/>
                <w:color w:val="000000" w:themeColor="text1"/>
                <w:sz w:val="24"/>
                <w:highlight w:val="none"/>
                <w:lang w:val="en-US" w:eastAsia="zh-CN"/>
                <w14:textFill>
                  <w14:solidFill>
                    <w14:schemeClr w14:val="tx1"/>
                  </w14:solidFill>
                </w14:textFill>
              </w:rPr>
              <w:t>项目</w:t>
            </w:r>
            <w:r>
              <w:rPr>
                <w:rFonts w:hint="default" w:ascii="仿宋" w:hAnsi="仿宋" w:eastAsia="仿宋" w:cs="仿宋"/>
                <w:color w:val="000000" w:themeColor="text1"/>
                <w:sz w:val="24"/>
                <w:highlight w:val="none"/>
                <w:lang w:eastAsia="zh-CN"/>
                <w14:textFill>
                  <w14:solidFill>
                    <w14:schemeClr w14:val="tx1"/>
                  </w14:solidFill>
                </w14:textFill>
              </w:rPr>
              <w:t>建成后将向电网输送大量清洁能源，符合国家能源产业发展策略，项目建成后对区域电力能源保障、减轻薪柴砍伐压力等方面均能起到一定正面影响，可促进当地经济发展，有利于建设安全、可靠、绿色、高效能源体系。</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（2）与能源开发原则的符合性分析</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《云南省主体功能区规划》第七章能源与资源的能源开发原则为：</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市场导向原则。继续实施西电东送战略，建成西电东送清洁能源基地、国家四大能源战略通道之一，在保障云南省需求的基础上，外送富余部分清洁能源。</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就地转化原则。在能源资源富集地区进行开发，尽可能依托现有城镇作为后勤保障和资源加工基地，避免形成新的资源城镇和孤立居民点，促进水电就地消纳、煤电一体化、新能源就近利用，推进多种形式的矿电结合，尽量减少大规模长距离的跨区域能源输送。</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点上开发、面上保护原则。通过点上开发，促进地方经济发展，妥善解决好开发中的移民安置问题，提高人民生活水平：通过将流域生态保护作为能源开发的重要目标，加强生态恢复、环境治理，达到面上保护的目的。因地制宜、有序推进、统筹协调原则。围绕优化产业结构、促进低碳转型的目标，大力发展清洁可再生能源，重视调峰蓄能配套设施建设，解决制约新能源电源发展并网难、外输难等问题，着力构筑稳定、经济、清洁、安全的能源体系。</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生态优先、适度开发、确保底线原则。在重点开发区域进行能源开发时必须充分考虑资源和环境承载力；在限制开发区域进行能源开发建设时，必须开展环境影响评价工作，尽可能减少对农业空间和生态空间的占用。</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项目建成后电力通过</w:t>
            </w:r>
            <w:r>
              <w:rPr>
                <w:rFonts w:hint="eastAsia" w:ascii="仿宋" w:hAnsi="仿宋" w:eastAsia="仿宋" w:cs="仿宋"/>
                <w:color w:val="000000" w:themeColor="text1"/>
                <w:sz w:val="24"/>
                <w:highlight w:val="none"/>
                <w:lang w:eastAsia="zh-CN"/>
                <w14:textFill>
                  <w14:solidFill>
                    <w14:schemeClr w14:val="tx1"/>
                  </w14:solidFill>
                </w14:textFill>
              </w:rPr>
              <w:t>开关站</w:t>
            </w:r>
            <w:r>
              <w:rPr>
                <w:rFonts w:hint="default" w:ascii="仿宋" w:hAnsi="仿宋" w:eastAsia="仿宋" w:cs="仿宋"/>
                <w:color w:val="000000" w:themeColor="text1"/>
                <w:sz w:val="24"/>
                <w:highlight w:val="none"/>
                <w:lang w:eastAsia="zh-CN"/>
                <w14:textFill>
                  <w14:solidFill>
                    <w14:schemeClr w14:val="tx1"/>
                  </w14:solidFill>
                </w14:textFill>
              </w:rPr>
              <w:t>和输电线路接入电网，有利于构筑稳定、经济、清洁、安全的能源体系。建设过程中不涉及移民安置，建设和运营过程中采取一系列的保护措施加强生态保护，建设不会对农业空间和重点保护的生态空间造成影响，采取避让、恢复等生态措施后可减轻对生态环境的影响。</w:t>
            </w:r>
          </w:p>
          <w:p>
            <w:pPr>
              <w:widowControl w:val="0"/>
              <w:spacing w:line="360" w:lineRule="auto"/>
              <w:ind w:firstLine="480"/>
              <w:rPr>
                <w:rFonts w:hint="default" w:ascii="仿宋" w:hAnsi="仿宋" w:eastAsia="仿宋" w:cs="仿宋"/>
                <w:color w:val="000000" w:themeColor="text1"/>
                <w:sz w:val="24"/>
                <w:highlight w:val="none"/>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综上分析，项目建设与《云南省主体功能区规划》不冲突。</w:t>
            </w:r>
          </w:p>
          <w:p>
            <w:pPr>
              <w:widowControl w:val="0"/>
              <w:spacing w:line="360" w:lineRule="auto"/>
              <w:ind w:firstLine="480"/>
              <w:rPr>
                <w:rFonts w:hint="default" w:ascii="仿宋" w:hAnsi="仿宋" w:eastAsia="仿宋" w:cs="仿宋"/>
                <w:b/>
                <w:bCs/>
                <w:color w:val="000000" w:themeColor="text1"/>
                <w:sz w:val="24"/>
                <w:highlight w:val="none"/>
                <w:lang w:eastAsia="zh-CN"/>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十五、</w:t>
            </w:r>
            <w:r>
              <w:rPr>
                <w:rFonts w:hint="default" w:ascii="仿宋" w:hAnsi="仿宋" w:eastAsia="仿宋" w:cs="仿宋"/>
                <w:b/>
                <w:bCs/>
                <w:color w:val="000000" w:themeColor="text1"/>
                <w:sz w:val="24"/>
                <w:highlight w:val="none"/>
                <w:lang w:eastAsia="zh-CN"/>
                <w14:textFill>
                  <w14:solidFill>
                    <w14:schemeClr w14:val="tx1"/>
                  </w14:solidFill>
                </w14:textFill>
              </w:rPr>
              <w:t>与《云南省生态功能区划》符合性分析</w:t>
            </w:r>
          </w:p>
          <w:p>
            <w:pPr>
              <w:widowControl w:val="0"/>
              <w:spacing w:line="360" w:lineRule="auto"/>
              <w:ind w:firstLine="480"/>
              <w:rPr>
                <w:rFonts w:hint="eastAsia"/>
                <w:color w:val="000000" w:themeColor="text1"/>
                <w:lang w:eastAsia="zh-CN"/>
                <w14:textFill>
                  <w14:solidFill>
                    <w14:schemeClr w14:val="tx1"/>
                  </w14:solidFill>
                </w14:textFill>
              </w:rPr>
            </w:pPr>
            <w:r>
              <w:rPr>
                <w:rFonts w:hint="default" w:ascii="仿宋" w:hAnsi="仿宋" w:eastAsia="仿宋" w:cs="仿宋"/>
                <w:color w:val="000000" w:themeColor="text1"/>
                <w:sz w:val="24"/>
                <w:highlight w:val="none"/>
                <w:lang w:eastAsia="zh-CN"/>
                <w14:textFill>
                  <w14:solidFill>
                    <w14:schemeClr w14:val="tx1"/>
                  </w14:solidFill>
                </w14:textFill>
              </w:rPr>
              <w:t>项目位于</w:t>
            </w:r>
            <w:r>
              <w:rPr>
                <w:rFonts w:hint="eastAsia" w:ascii="仿宋" w:hAnsi="仿宋" w:eastAsia="仿宋" w:cs="仿宋"/>
                <w:color w:val="000000" w:themeColor="text1"/>
                <w:sz w:val="24"/>
                <w:highlight w:val="none"/>
                <w:lang w:val="en-US" w:eastAsia="zh-CN"/>
                <w14:textFill>
                  <w14:solidFill>
                    <w14:schemeClr w14:val="tx1"/>
                  </w14:solidFill>
                </w14:textFill>
              </w:rPr>
              <w:t>大理州弥渡县</w:t>
            </w:r>
            <w:r>
              <w:rPr>
                <w:rFonts w:hint="default" w:ascii="仿宋" w:hAnsi="仿宋" w:eastAsia="仿宋" w:cs="仿宋"/>
                <w:color w:val="000000" w:themeColor="text1"/>
                <w:sz w:val="24"/>
                <w:highlight w:val="none"/>
                <w:lang w:eastAsia="zh-CN"/>
                <w14:textFill>
                  <w14:solidFill>
                    <w14:schemeClr w14:val="tx1"/>
                  </w14:solidFill>
                </w14:textFill>
              </w:rPr>
              <w:t>，对照《云南省生态功能区划》，工程所在区域属于</w:t>
            </w:r>
            <w:r>
              <w:rPr>
                <w:rFonts w:hint="eastAsia" w:ascii="仿宋" w:hAnsi="仿宋" w:eastAsia="仿宋" w:cs="仿宋"/>
                <w:color w:val="000000" w:themeColor="text1"/>
                <w:sz w:val="24"/>
                <w:highlight w:val="none"/>
                <w:lang w:eastAsia="zh-CN"/>
                <w14:textFill>
                  <w14:solidFill>
                    <w14:schemeClr w14:val="tx1"/>
                  </w14:solidFill>
                </w14:textFill>
              </w:rPr>
              <w:t>Ⅲ</w:t>
            </w:r>
            <w:r>
              <w:rPr>
                <w:rFonts w:hint="eastAsia" w:ascii="仿宋" w:hAnsi="仿宋" w:eastAsia="仿宋" w:cs="仿宋"/>
                <w:color w:val="000000" w:themeColor="text1"/>
                <w:sz w:val="24"/>
                <w:highlight w:val="none"/>
                <w:lang w:val="en-US" w:eastAsia="zh-CN"/>
                <w14:textFill>
                  <w14:solidFill>
                    <w14:schemeClr w14:val="tx1"/>
                  </w14:solidFill>
                </w14:textFill>
              </w:rPr>
              <w:t>1-2大理山原盆地农业与集镇生态功能区</w:t>
            </w:r>
            <w:r>
              <w:rPr>
                <w:rFonts w:hint="default" w:ascii="仿宋" w:hAnsi="仿宋" w:eastAsia="仿宋" w:cs="仿宋"/>
                <w:color w:val="000000" w:themeColor="text1"/>
                <w:sz w:val="24"/>
                <w:highlight w:val="none"/>
                <w:lang w:eastAsia="zh-CN"/>
                <w14:textFill>
                  <w14:solidFill>
                    <w14:schemeClr w14:val="tx1"/>
                  </w14:solidFill>
                </w14:textFill>
              </w:rPr>
              <w:t>。主要生态环境问题体现为土地过度利用、生态承载力下降、农业与集镇复合污染叠加</w:t>
            </w:r>
            <w:r>
              <w:rPr>
                <w:rFonts w:hint="eastAsia" w:ascii="仿宋" w:hAnsi="仿宋" w:eastAsia="仿宋" w:cs="仿宋"/>
                <w:color w:val="000000" w:themeColor="text1"/>
                <w:sz w:val="24"/>
                <w:highlight w:val="none"/>
                <w:lang w:eastAsia="zh-CN"/>
                <w14:textFill>
                  <w14:solidFill>
                    <w14:schemeClr w14:val="tx1"/>
                  </w14:solidFill>
                </w14:textFill>
              </w:rPr>
              <w:t>。</w:t>
            </w:r>
          </w:p>
          <w:p>
            <w:pPr>
              <w:ind w:left="0" w:leftChars="0" w:firstLine="0" w:firstLineChars="0"/>
              <w:jc w:val="center"/>
              <w:rPr>
                <w:rFonts w:hint="eastAsia"/>
                <w:color w:val="000000" w:themeColor="text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84455</wp:posOffset>
                      </wp:positionH>
                      <wp:positionV relativeFrom="paragraph">
                        <wp:posOffset>2611120</wp:posOffset>
                      </wp:positionV>
                      <wp:extent cx="919480" cy="275590"/>
                      <wp:effectExtent l="5080" t="4445" r="8890" b="5715"/>
                      <wp:wrapNone/>
                      <wp:docPr id="25" name="文本框 25"/>
                      <wp:cNvGraphicFramePr/>
                      <a:graphic xmlns:a="http://schemas.openxmlformats.org/drawingml/2006/main">
                        <a:graphicData uri="http://schemas.microsoft.com/office/word/2010/wordprocessingShape">
                          <wps:wsp>
                            <wps:cNvSpPr txBox="1"/>
                            <wps:spPr>
                              <a:xfrm>
                                <a:off x="0" y="0"/>
                                <a:ext cx="919480" cy="275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205.6pt;height:21.7pt;width:72.4pt;z-index:251662336;mso-width-relative:page;mso-height-relative:page;" fillcolor="#FFFFFF [3201]" filled="t" stroked="t" coordsize="21600,21600" o:gfxdata="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jMIsTW&#10;AAAACgEAAA8AAAAAAAAAAQAgAAAAIgAAAGRycy9kb3ducmV2LnhtbFBLAQIUABQAAAAIAIdO4kCw&#10;JKEpWwIAALgEAAAOAAAAAAAAAAEAIAAAACUBAABkcnMvZTJvRG9jLnhtbFBLBQYAAAAABgAGAFkB&#10;AADyBQAAAAA=&#10;">
                      <v:fill on="t" focussize="0,0"/>
                      <v:stroke weight="0.5pt" color="#000000 [3204]" joinstyle="round"/>
                      <v:imagedata o:title=""/>
                      <o:lock v:ext="edit" aspectratio="f"/>
                      <v:textbox>
                        <w:txbxContent>
                          <w:p>
                            <w:pPr>
                              <w:rPr>
                                <w:rFonts w:hint="eastAsia" w:eastAsia="宋体"/>
                                <w:lang w:eastAsia="zh-CN"/>
                              </w:rPr>
                            </w:pPr>
                            <w:r>
                              <w:rPr>
                                <w:rFonts w:hint="eastAsia"/>
                                <w:b/>
                                <w:bCs/>
                                <w:color w:val="FF0000"/>
                                <w:lang w:eastAsia="zh-CN"/>
                              </w:rPr>
                              <w:t>项目所在地</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557530</wp:posOffset>
                      </wp:positionH>
                      <wp:positionV relativeFrom="paragraph">
                        <wp:posOffset>1816735</wp:posOffset>
                      </wp:positionV>
                      <wp:extent cx="931545" cy="727075"/>
                      <wp:effectExtent l="7620" t="0" r="13335" b="15875"/>
                      <wp:wrapNone/>
                      <wp:docPr id="24" name="直接箭头连接符 24"/>
                      <wp:cNvGraphicFramePr/>
                      <a:graphic xmlns:a="http://schemas.openxmlformats.org/drawingml/2006/main">
                        <a:graphicData uri="http://schemas.microsoft.com/office/word/2010/wordprocessingShape">
                          <wps:wsp>
                            <wps:cNvCnPr/>
                            <wps:spPr>
                              <a:xfrm flipV="1">
                                <a:off x="0" y="0"/>
                                <a:ext cx="931545" cy="7270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3.9pt;margin-top:143.05pt;height:57.25pt;width:73.35pt;z-index:251661312;mso-width-relative:page;mso-height-relative:page;" filled="f" stroked="t" coordsize="21600,21600" o:gfxdata="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A+EWTZAAAACgEAAA8AAAAAAAAAAQAgAAAAIgAA&#10;AGRycy9kb3ducmV2LnhtbFBLAQIUABQAAAAIAIdO4kBZt0okBwIAANgDAAAOAAAAAAAAAAEAIAAA&#10;ACgBAABkcnMvZTJvRG9jLnhtbFBLBQYAAAAABgAGAFkBAAChBQAAAAA=&#10;">
                      <v:fill on="f" focussize="0,0"/>
                      <v:stroke weight="2pt" color="#FF0000 [3204]" joinstyle="round" endarrow="open"/>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4780915" cy="3415030"/>
                  <wp:effectExtent l="0" t="0" r="635" b="139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2"/>
                          <a:stretch>
                            <a:fillRect/>
                          </a:stretch>
                        </pic:blipFill>
                        <pic:spPr>
                          <a:xfrm>
                            <a:off x="0" y="0"/>
                            <a:ext cx="4780915" cy="3415030"/>
                          </a:xfrm>
                          <a:prstGeom prst="rect">
                            <a:avLst/>
                          </a:prstGeom>
                          <a:noFill/>
                          <a:ln>
                            <a:noFill/>
                          </a:ln>
                        </pic:spPr>
                      </pic:pic>
                    </a:graphicData>
                  </a:graphic>
                </wp:inline>
              </w:drawing>
            </w:r>
          </w:p>
          <w:p>
            <w:pPr>
              <w:pStyle w:val="46"/>
              <w:rPr>
                <w:rFonts w:hint="eastAsia"/>
                <w:color w:val="000000" w:themeColor="text1"/>
                <w:lang w:val="en-US" w:eastAsia="zh-CN"/>
                <w14:textFill>
                  <w14:solidFill>
                    <w14:schemeClr w14:val="tx1"/>
                  </w14:solidFill>
                </w14:textFill>
              </w:rPr>
            </w:pPr>
            <w:r>
              <w:rPr>
                <w:b/>
                <w:bCs/>
                <w:color w:val="000000" w:themeColor="text1"/>
                <w:highlight w:val="none"/>
                <w14:textFill>
                  <w14:solidFill>
                    <w14:schemeClr w14:val="tx1"/>
                  </w14:solidFill>
                </w14:textFill>
              </w:rPr>
              <w:t>图</w:t>
            </w:r>
            <w:r>
              <w:rPr>
                <w:rFonts w:hint="eastAsia"/>
                <w:b/>
                <w:bCs/>
                <w:color w:val="000000" w:themeColor="text1"/>
                <w:highlight w:val="none"/>
                <w:lang w:val="en-US" w:eastAsia="zh-CN"/>
                <w14:textFill>
                  <w14:solidFill>
                    <w14:schemeClr w14:val="tx1"/>
                  </w14:solidFill>
                </w14:textFill>
              </w:rPr>
              <w:t>1</w:t>
            </w:r>
            <w:r>
              <w:rPr>
                <w:b/>
                <w:bCs/>
                <w:color w:val="000000" w:themeColor="text1"/>
                <w:highlight w:val="none"/>
                <w14:textFill>
                  <w14:solidFill>
                    <w14:schemeClr w14:val="tx1"/>
                  </w14:solidFill>
                </w14:textFill>
              </w:rPr>
              <w:t>-2 项目与《云南省生态功能区划》的位置关系图</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工程占地不涉及生态保护红线、自然保护区等敏感对象，不占用天然乔木林地。项目建成后对区域电力能源保障、减轻薪柴砍伐压力等方面均能起到一定正面影响，从长远看，对保护当地生态环境有益。工程建设符合国家能源产业发展策略，可促进当地经济发展，有利于提高资源利用效率，可替代燃煤电厂，减少废气、废渣的排放，有利于推行节能减排。</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因此，工程建设与《云南省生态功能区划》不冲突。</w:t>
            </w:r>
          </w:p>
          <w:p>
            <w:pPr>
              <w:widowControl w:val="0"/>
              <w:spacing w:line="360" w:lineRule="auto"/>
              <w:ind w:firstLine="48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十六、与《云南省生物多样性保护条例》的符合性分析</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《云南省生物多样性保护条例》旨在保护生物多样性，保障生态安全是由云南省第十三届人大常务委员会第五次会议于2018年9月21日审议通过并公布，自2019年1月1日起施行。项目</w:t>
            </w:r>
            <w:bookmarkStart w:id="13" w:name="OLE_LINK217"/>
            <w:r>
              <w:rPr>
                <w:rFonts w:hint="eastAsia" w:ascii="仿宋" w:hAnsi="仿宋" w:eastAsia="仿宋" w:cs="仿宋"/>
                <w:color w:val="000000" w:themeColor="text1"/>
                <w:sz w:val="24"/>
                <w:highlight w:val="none"/>
                <w:lang w:val="en-US" w:eastAsia="zh-CN"/>
                <w14:textFill>
                  <w14:solidFill>
                    <w14:schemeClr w14:val="tx1"/>
                  </w14:solidFill>
                </w14:textFill>
              </w:rPr>
              <w:t>与《云南省生物多样性保护条例》符合性分析</w:t>
            </w:r>
            <w:bookmarkEnd w:id="13"/>
            <w:r>
              <w:rPr>
                <w:rFonts w:hint="eastAsia" w:ascii="仿宋" w:hAnsi="仿宋" w:eastAsia="仿宋" w:cs="仿宋"/>
                <w:color w:val="000000" w:themeColor="text1"/>
                <w:sz w:val="24"/>
                <w:highlight w:val="none"/>
                <w:lang w:val="en-US" w:eastAsia="zh-CN"/>
                <w14:textFill>
                  <w14:solidFill>
                    <w14:schemeClr w14:val="tx1"/>
                  </w14:solidFill>
                </w14:textFill>
              </w:rPr>
              <w:t>见表1-14。</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表1-</w:t>
            </w:r>
            <w:r>
              <w:rPr>
                <w:rFonts w:hint="eastAsia" w:ascii="仿宋" w:hAnsi="仿宋" w:eastAsia="仿宋" w:cs="仿宋"/>
                <w:color w:val="000000" w:themeColor="text1"/>
                <w:sz w:val="21"/>
                <w:szCs w:val="21"/>
                <w:lang w:val="en-US" w:eastAsia="zh-CN"/>
                <w14:textFill>
                  <w14:solidFill>
                    <w14:schemeClr w14:val="tx1"/>
                  </w14:solidFill>
                </w14:textFill>
              </w:rPr>
              <w:t>14</w:t>
            </w:r>
            <w:r>
              <w:rPr>
                <w:rFonts w:hint="eastAsia" w:ascii="仿宋" w:hAnsi="仿宋" w:eastAsia="仿宋" w:cs="仿宋"/>
                <w:color w:val="000000" w:themeColor="text1"/>
                <w:sz w:val="21"/>
                <w:szCs w:val="21"/>
                <w14:textFill>
                  <w14:solidFill>
                    <w14:schemeClr w14:val="tx1"/>
                  </w14:solidFill>
                </w14:textFill>
              </w:rPr>
              <w:t xml:space="preserve">  项目与《云南省生物多样性保护条例》符合性分析</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8"/>
              <w:gridCol w:w="3070"/>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条例要求</w:t>
                  </w:r>
                </w:p>
              </w:tc>
              <w:tc>
                <w:tcPr>
                  <w:tcW w:w="1938"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项目情况</w:t>
                  </w:r>
                </w:p>
              </w:tc>
              <w:tc>
                <w:tcPr>
                  <w:tcW w:w="54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第二十八条省人民政府应当按照权限和程序划定生物多样性保护优先区域、生态保护红线，并向社会公布。生物多样性保护优先区域、生态保护红线的调整应当以加强保护为目的，并按规定报批。</w:t>
                  </w:r>
                </w:p>
              </w:tc>
              <w:tc>
                <w:tcPr>
                  <w:tcW w:w="193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项目不涉及云南省生物多样性优先保护区域与</w:t>
                  </w:r>
                  <w:r>
                    <w:rPr>
                      <w:rFonts w:hint="eastAsia" w:ascii="仿宋" w:hAnsi="仿宋" w:eastAsia="仿宋" w:cs="仿宋"/>
                      <w:color w:val="000000" w:themeColor="text1"/>
                      <w:sz w:val="21"/>
                      <w:szCs w:val="21"/>
                      <w:lang w:eastAsia="zh-CN"/>
                      <w14:textFill>
                        <w14:solidFill>
                          <w14:schemeClr w14:val="tx1"/>
                        </w14:solidFill>
                      </w14:textFill>
                    </w:rPr>
                    <w:t>大理州</w:t>
                  </w:r>
                  <w:r>
                    <w:rPr>
                      <w:rFonts w:hint="eastAsia" w:ascii="仿宋" w:hAnsi="仿宋" w:eastAsia="仿宋" w:cs="仿宋"/>
                      <w:color w:val="000000" w:themeColor="text1"/>
                      <w:sz w:val="21"/>
                      <w:szCs w:val="21"/>
                      <w14:textFill>
                        <w14:solidFill>
                          <w14:schemeClr w14:val="tx1"/>
                        </w14:solidFill>
                      </w14:textFill>
                    </w:rPr>
                    <w:t>生物多样性保护优先区域。</w:t>
                  </w:r>
                </w:p>
              </w:tc>
              <w:tc>
                <w:tcPr>
                  <w:tcW w:w="54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二十九条新建、改建、扩建建设项目以及开发自然资源，应当依法开展环境影响评价。对可能造成重要生态系统破坏、损害重要物种及其栖息地和生境的，应当制定专项保护、恢复和补偿方案，纳入环境影响评价。</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在生物多样性保护优先区域的建设项目以及自然资源开发，应当评价对生物多样性的影响，并作为环境影响评价的重要组成部分。</w:t>
                  </w:r>
                </w:p>
              </w:tc>
              <w:tc>
                <w:tcPr>
                  <w:tcW w:w="1938" w:type="pct"/>
                  <w:noWrap w:val="0"/>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项目为新建</w:t>
                  </w:r>
                  <w:r>
                    <w:rPr>
                      <w:rFonts w:hint="eastAsia" w:ascii="仿宋" w:hAnsi="仿宋" w:eastAsia="仿宋" w:cs="仿宋"/>
                      <w:color w:val="000000" w:themeColor="text1"/>
                      <w:sz w:val="21"/>
                      <w:szCs w:val="21"/>
                      <w:lang w:val="en-US" w:eastAsia="zh-CN"/>
                      <w14:textFill>
                        <w14:solidFill>
                          <w14:schemeClr w14:val="tx1"/>
                        </w14:solidFill>
                      </w14:textFill>
                    </w:rPr>
                    <w:t>风力</w:t>
                  </w:r>
                  <w:r>
                    <w:rPr>
                      <w:rFonts w:hint="eastAsia" w:ascii="仿宋" w:hAnsi="仿宋" w:eastAsia="仿宋" w:cs="仿宋"/>
                      <w:color w:val="000000" w:themeColor="text1"/>
                      <w:sz w:val="21"/>
                      <w:szCs w:val="21"/>
                      <w14:textFill>
                        <w14:solidFill>
                          <w14:schemeClr w14:val="tx1"/>
                        </w14:solidFill>
                      </w14:textFill>
                    </w:rPr>
                    <w:t>发电项目，目前开展环境影响评价工作。项目不涉及云南省生物多样性优先保护区域与</w:t>
                  </w:r>
                  <w:r>
                    <w:rPr>
                      <w:rFonts w:hint="eastAsia" w:ascii="仿宋" w:hAnsi="仿宋" w:eastAsia="仿宋" w:cs="仿宋"/>
                      <w:color w:val="000000" w:themeColor="text1"/>
                      <w:sz w:val="21"/>
                      <w:szCs w:val="21"/>
                      <w:lang w:val="en-US" w:eastAsia="zh-CN"/>
                      <w14:textFill>
                        <w14:solidFill>
                          <w14:schemeClr w14:val="tx1"/>
                        </w14:solidFill>
                      </w14:textFill>
                    </w:rPr>
                    <w:t>大理州</w:t>
                  </w:r>
                  <w:r>
                    <w:rPr>
                      <w:rFonts w:hint="eastAsia" w:ascii="仿宋" w:hAnsi="仿宋" w:eastAsia="仿宋" w:cs="仿宋"/>
                      <w:color w:val="000000" w:themeColor="text1"/>
                      <w:sz w:val="21"/>
                      <w:szCs w:val="21"/>
                      <w14:textFill>
                        <w14:solidFill>
                          <w14:schemeClr w14:val="tx1"/>
                        </w14:solidFill>
                      </w14:textFill>
                    </w:rPr>
                    <w:t>生物多样性保护优先区域。</w:t>
                  </w:r>
                </w:p>
              </w:tc>
              <w:tc>
                <w:tcPr>
                  <w:tcW w:w="54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相符</w:t>
                  </w:r>
                </w:p>
              </w:tc>
            </w:tr>
          </w:tbl>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根据上表分析，项目实施符合《云南省生物多样性保护条例》的相关要求。</w:t>
            </w:r>
          </w:p>
          <w:p>
            <w:pPr>
              <w:ind w:firstLine="48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十七、与《云南省生物多样性保护战略与行动计划（2024-2030年）》的符合性分析</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云南省生态环境厅于2024年5月20日印发《云南省生物多样性保护战略与行动计划（2024-2030）》，云南省划定了生物多样性保护的6个级优先区域和18个二级优先保护区域，提出了5个优先领域和30项优先行动。</w:t>
            </w:r>
          </w:p>
          <w:p>
            <w:pPr>
              <w:pStyle w:val="57"/>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表1-</w:t>
            </w:r>
            <w:r>
              <w:rPr>
                <w:rFonts w:hint="eastAsia" w:ascii="仿宋" w:hAnsi="仿宋" w:eastAsia="仿宋" w:cs="仿宋"/>
                <w:color w:val="000000" w:themeColor="text1"/>
                <w:lang w:val="en-US" w:eastAsia="zh-CN"/>
                <w14:textFill>
                  <w14:solidFill>
                    <w14:schemeClr w14:val="tx1"/>
                  </w14:solidFill>
                </w14:textFill>
              </w:rPr>
              <w:t>15</w:t>
            </w:r>
            <w:r>
              <w:rPr>
                <w:rFonts w:hint="eastAsia" w:ascii="仿宋" w:hAnsi="仿宋" w:eastAsia="仿宋" w:cs="仿宋"/>
                <w:color w:val="000000" w:themeColor="text1"/>
                <w14:textFill>
                  <w14:solidFill>
                    <w14:schemeClr w14:val="tx1"/>
                  </w14:solidFill>
                </w14:textFill>
              </w:rPr>
              <w:t xml:space="preserve">  云南省生物多样性优先保护区域一览表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4086"/>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序号</w:t>
                  </w:r>
                </w:p>
              </w:tc>
              <w:tc>
                <w:tcPr>
                  <w:tcW w:w="2580"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一级优先区域</w:t>
                  </w:r>
                </w:p>
              </w:tc>
              <w:tc>
                <w:tcPr>
                  <w:tcW w:w="1945"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二级优先区域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2580"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滇西北高山峡谷针叶林区域</w:t>
                  </w: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①高黎贡山北段温凉性针叶林区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②梅里雪山一碧罗雪山寒温性针叶林区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③云岭山脉寒温性一暖温性针叶林区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④香格里拉山原寒温性针叶林区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2580"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云南南部边缘热带雨林区域</w:t>
                  </w: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①高黎贡山南段中山湿常绿阔叶林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②铜壁关热带雨林区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③南汀河热带雨林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④西双版纳热带雨林区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⑤红河湿润雨林区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258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滇东南喀斯特东南季风阔叶林区域</w:t>
                  </w: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①滇东南喀斯特东南季风阔叶林区域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2580"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滇东北乌蒙山湿润常绿阔叶林区域</w:t>
                  </w: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①乌蒙山湿润常绿阔叶林区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②金沙江下游干热、干暖河谷区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p>
              </w:tc>
              <w:tc>
                <w:tcPr>
                  <w:tcW w:w="2580"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Cs/>
                      <w:color w:val="000000" w:themeColor="text1"/>
                      <w:spacing w:val="-11"/>
                      <w:sz w:val="21"/>
                      <w:szCs w:val="21"/>
                      <w14:textFill>
                        <w14:solidFill>
                          <w14:schemeClr w14:val="tx1"/>
                        </w14:solidFill>
                      </w14:textFill>
                    </w:rPr>
                    <w:t>澜沧江中游一哀山中山湿性常绿阔叶林</w:t>
                  </w:r>
                  <w:bookmarkStart w:id="14" w:name="OLE_LINK218"/>
                  <w:r>
                    <w:rPr>
                      <w:rFonts w:hint="eastAsia" w:ascii="仿宋" w:hAnsi="仿宋" w:eastAsia="仿宋" w:cs="仿宋"/>
                      <w:bCs/>
                      <w:color w:val="000000" w:themeColor="text1"/>
                      <w:spacing w:val="-11"/>
                      <w:sz w:val="21"/>
                      <w:szCs w:val="21"/>
                      <w14:textFill>
                        <w14:solidFill>
                          <w14:schemeClr w14:val="tx1"/>
                        </w14:solidFill>
                      </w14:textFill>
                    </w:rPr>
                    <w:t>区域</w:t>
                  </w:r>
                  <w:bookmarkEnd w:id="14"/>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①澜沧江中山宽谷常绿阔叶林区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②无量山中山湿性常绿阔叶林区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③哀牢山中山湿性常绿阔叶林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w:t>
                  </w:r>
                </w:p>
              </w:tc>
              <w:tc>
                <w:tcPr>
                  <w:tcW w:w="2580"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云南高原湿地区域</w:t>
                  </w: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①滇中高原湖泊区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②滇西北高原湖泊区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2580"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94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③滇东北高山沼泽化草甸区</w:t>
                  </w:r>
                </w:p>
              </w:tc>
            </w:tr>
          </w:tbl>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根据项目与云南省生物多样性保护优先区域</w:t>
            </w:r>
            <w:r>
              <w:rPr>
                <w:rFonts w:hint="eastAsia" w:ascii="仿宋" w:hAnsi="仿宋" w:eastAsia="仿宋" w:cs="仿宋"/>
                <w:color w:val="000000" w:themeColor="text1"/>
                <w:sz w:val="24"/>
                <w:highlight w:val="none"/>
                <w:lang w:val="en-US" w:eastAsia="zh-CN"/>
                <w14:textFill>
                  <w14:solidFill>
                    <w14:schemeClr w14:val="tx1"/>
                  </w14:solidFill>
                </w14:textFill>
              </w:rPr>
              <w:t>与大理州生物多样性保护优先区域叠图</w:t>
            </w:r>
            <w:r>
              <w:rPr>
                <w:rFonts w:hint="eastAsia" w:ascii="仿宋" w:hAnsi="仿宋" w:eastAsia="仿宋" w:cs="仿宋"/>
                <w:color w:val="000000" w:themeColor="text1"/>
                <w:sz w:val="24"/>
                <w:highlight w:val="none"/>
                <w:lang w:val="en-US" w:eastAsia="zh-CN"/>
                <w14:textFill>
                  <w14:solidFill>
                    <w14:schemeClr w14:val="tx1"/>
                  </w14:solidFill>
                </w14:textFill>
              </w:rPr>
              <w:t>，项目不涉及云南省生物多样性保护优先保护区域。项目不涉及自然保护区、森林公园、风景名胜区野生动物重要栖息地、珍稀濒危和极小种群野生植物重要原生环境、天然林，不涉及生态保护红线、基本农田，也不涉及饮用水水源地保护区、鸟类迁徙通道。根据生态调查，本工程评价区内未发现国家重点保护植物。工程建设对动植物及其生境的影响相对较小，对生物多样性的影响轻微。</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因此，本工程建设与《云南省生物多样性保护战略与行动计划（2024-2030年）》是相符的。</w:t>
            </w:r>
          </w:p>
          <w:p>
            <w:pPr>
              <w:widowControl w:val="0"/>
              <w:spacing w:line="360" w:lineRule="auto"/>
              <w:ind w:firstLine="480"/>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十八、项目与《建设项目使用林地审核审批管理办法》的符合性分析</w:t>
            </w:r>
          </w:p>
          <w:p>
            <w:pPr>
              <w:widowControl w:val="0"/>
              <w:spacing w:line="360" w:lineRule="auto"/>
              <w:ind w:firstLine="48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本项目与《建设项目使用林地审核审批管理办法》（国家林业局令第35号）的符合性分析如下表所示：</w:t>
            </w:r>
          </w:p>
          <w:p>
            <w:pPr>
              <w:pStyle w:val="57"/>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表1-16 项目与国家林业局令第35号的符合性分析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4038"/>
              <w:gridCol w:w="2435"/>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序号</w:t>
                  </w:r>
                </w:p>
              </w:tc>
              <w:tc>
                <w:tcPr>
                  <w:tcW w:w="2548" w:type="pct"/>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办法要求</w:t>
                  </w:r>
                </w:p>
              </w:tc>
              <w:tc>
                <w:tcPr>
                  <w:tcW w:w="1537" w:type="pct"/>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项目实际情况</w:t>
                  </w:r>
                </w:p>
              </w:tc>
              <w:tc>
                <w:tcPr>
                  <w:tcW w:w="478" w:type="pct"/>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第三条</w:t>
                  </w:r>
                </w:p>
              </w:tc>
              <w:tc>
                <w:tcPr>
                  <w:tcW w:w="2548" w:type="pct"/>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建设项目应当不占或者少占林地，必须使用林地的，应当符合林地保护利用规划，合理和节约集约利用林地。建设项目限制使用生态区位重要和生态脆弱地区的林地，限制使用天然林和单位面积蓄积量高的林地，限制经营性建设项目使用林地。</w:t>
                  </w:r>
                </w:p>
              </w:tc>
              <w:tc>
                <w:tcPr>
                  <w:tcW w:w="1537" w:type="pct"/>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本项目使用的林地不涉及</w:t>
                  </w:r>
                  <w:r>
                    <w:rPr>
                      <w:rFonts w:hint="eastAsia" w:ascii="仿宋" w:hAnsi="仿宋" w:eastAsia="仿宋" w:cs="仿宋"/>
                      <w:color w:val="000000" w:themeColor="text1"/>
                      <w:sz w:val="21"/>
                      <w:szCs w:val="21"/>
                      <w14:textFill>
                        <w14:solidFill>
                          <w14:schemeClr w14:val="tx1"/>
                        </w14:solidFill>
                      </w14:textFill>
                    </w:rPr>
                    <w:t>生态区位重要和生态脆弱地区的林地</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不占用</w:t>
                  </w:r>
                  <w:r>
                    <w:rPr>
                      <w:rFonts w:hint="eastAsia" w:ascii="仿宋" w:hAnsi="仿宋" w:eastAsia="仿宋" w:cs="仿宋"/>
                      <w:color w:val="000000" w:themeColor="text1"/>
                      <w:sz w:val="21"/>
                      <w:szCs w:val="21"/>
                      <w14:textFill>
                        <w14:solidFill>
                          <w14:schemeClr w14:val="tx1"/>
                        </w14:solidFill>
                      </w14:textFill>
                    </w:rPr>
                    <w:t>天然林和单位面积蓄积量高的林地，</w:t>
                  </w:r>
                  <w:r>
                    <w:rPr>
                      <w:rFonts w:hint="eastAsia" w:ascii="仿宋" w:hAnsi="仿宋" w:eastAsia="仿宋" w:cs="仿宋"/>
                      <w:color w:val="000000" w:themeColor="text1"/>
                      <w:sz w:val="21"/>
                      <w:szCs w:val="21"/>
                      <w:lang w:val="en-US" w:eastAsia="zh-CN"/>
                      <w14:textFill>
                        <w14:solidFill>
                          <w14:schemeClr w14:val="tx1"/>
                        </w14:solidFill>
                      </w14:textFill>
                    </w:rPr>
                    <w:t>不属于</w:t>
                  </w:r>
                  <w:r>
                    <w:rPr>
                      <w:rFonts w:hint="eastAsia" w:ascii="仿宋" w:hAnsi="仿宋" w:eastAsia="仿宋" w:cs="仿宋"/>
                      <w:color w:val="000000" w:themeColor="text1"/>
                      <w:sz w:val="21"/>
                      <w:szCs w:val="21"/>
                      <w14:textFill>
                        <w14:solidFill>
                          <w14:schemeClr w14:val="tx1"/>
                        </w14:solidFill>
                      </w14:textFill>
                    </w:rPr>
                    <w:t>限制经营性建设项目使用林地。</w:t>
                  </w:r>
                </w:p>
              </w:tc>
              <w:tc>
                <w:tcPr>
                  <w:tcW w:w="478"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Style w:val="27"/>
                      <w:rFonts w:hint="eastAsia" w:ascii="仿宋" w:hAnsi="仿宋" w:eastAsia="仿宋" w:cs="仿宋"/>
                      <w:i w:val="0"/>
                      <w:iCs w:val="0"/>
                      <w:caps w:val="0"/>
                      <w:color w:val="000000" w:themeColor="text1"/>
                      <w:spacing w:val="0"/>
                      <w:sz w:val="21"/>
                      <w:szCs w:val="21"/>
                      <w:shd w:val="clear" w:fill="FFFFFF"/>
                      <w14:textFill>
                        <w14:solidFill>
                          <w14:schemeClr w14:val="tx1"/>
                        </w14:solidFill>
                      </w14:textFill>
                    </w:rPr>
                    <w:t>第四条</w:t>
                  </w:r>
                </w:p>
              </w:tc>
              <w:tc>
                <w:tcPr>
                  <w:tcW w:w="2548" w:type="pct"/>
                  <w:vAlign w:val="center"/>
                </w:tcPr>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占用和临时占用林地的建设项目应当遵守林地分级管理的规定：</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w:t>
                  </w:r>
                  <w:r>
                    <w:rPr>
                      <w:rFonts w:hint="eastAsia" w:ascii="仿宋" w:hAnsi="仿宋" w:eastAsia="仿宋" w:cs="仿宋"/>
                      <w:bCs/>
                      <w:color w:val="000000" w:themeColor="text1"/>
                      <w:spacing w:val="-11"/>
                      <w:sz w:val="21"/>
                      <w:szCs w:val="21"/>
                      <w14:textFill>
                        <w14:solidFill>
                          <w14:schemeClr w14:val="tx1"/>
                        </w14:solidFill>
                      </w14:textFill>
                    </w:rPr>
                    <w:t>各类建设项目不得使用Ⅰ级保护林地。</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（二）国务院批准、同意的建设项目，国务院有关部门和省级人民政府及其有关部门批准的基础设施、公共事业、民生建设项目，可以使用Ⅱ级及其以下保护林地。</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（三）国防、外交建设项目，可以使用Ⅱ级及其以下保护林地。</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（四）县（市、区）和设区的市、自治州人民政府及其有关部门批准的基础设施、公共事业、民生建设项目，可以使用Ⅱ级及其以下保护林地。</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五）战略性新兴产业项目、勘查项目、大中型矿山、符合相关旅游规划的生态旅游开发项目，可以使用Ⅱ级及其以下保护林地。其他工矿、仓储建设项目和符合规划的经营性项目，可以使用Ⅲ级及其以下保护林地。</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（六）符合城镇规划的建设项目和符合乡村规划的建设项目，可以使用Ⅱ级及其以下保护林地。</w:t>
                  </w:r>
                </w:p>
                <w:p>
                  <w:pPr>
                    <w:pStyle w:val="58"/>
                    <w:bidi w:val="0"/>
                    <w:jc w:val="both"/>
                    <w:rPr>
                      <w:rFonts w:hint="eastAsia" w:ascii="仿宋" w:hAnsi="仿宋" w:eastAsia="仿宋" w:cs="仿宋"/>
                      <w:bCs/>
                      <w:color w:val="000000" w:themeColor="text1"/>
                      <w:spacing w:val="-1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（七）</w:t>
                  </w:r>
                  <w:r>
                    <w:rPr>
                      <w:rFonts w:hint="eastAsia" w:ascii="仿宋" w:hAnsi="仿宋" w:eastAsia="仿宋" w:cs="仿宋"/>
                      <w:bCs/>
                      <w:color w:val="000000" w:themeColor="text1"/>
                      <w:spacing w:val="-11"/>
                      <w:sz w:val="21"/>
                      <w:szCs w:val="21"/>
                      <w14:textFill>
                        <w14:solidFill>
                          <w14:schemeClr w14:val="tx1"/>
                        </w14:solidFill>
                      </w14:textFill>
                    </w:rPr>
                    <w:t>符合自然保护区、森林公园、湿地公园、风景名胜区等规划的建设项目，可以使用自然保护区、森林公园、湿地公园、风景名胜区范围内Ⅱ级及其以下保护林地。</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八）公路、铁路、通讯、电力、油气管线等线性工程和水利水电、航道工程等建设项目配套的采石（沙）场、取土场使用林地按照主体建设项目使用林地范围执行，但不得使用Ⅱ级保护林地中的有林地。其中，在国务院确定的国家所有的重点林区（以下简称重点国有林区）内，不得使用Ⅲ级以上保护林地中的有林地。</w:t>
                  </w:r>
                </w:p>
                <w:p>
                  <w:pPr>
                    <w:pStyle w:val="58"/>
                    <w:bidi w:val="0"/>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（九）上述建设项目以外的其他建设项目可以使用Ⅳ级保护林地。</w:t>
                  </w:r>
                </w:p>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本条第一款第（二）、（三）、（七）项以外的建设项目使用林地，不得使用一级国家级公益林地。</w:t>
                  </w:r>
                </w:p>
              </w:tc>
              <w:tc>
                <w:tcPr>
                  <w:tcW w:w="1537" w:type="pct"/>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根据附件5弥渡县林业和草原局关于本项目选址意见的复函，项目用地范围不涉及森林公园、风景名胜区、自然保护区等各类自然保护地，不涉及鸟类主要迁徙通道和迁徙地，不涉及I级保护林地、天然乔木林(竹林)地、年降雨量400毫米以下区域的有林地、一级国家级公益林地和二级国家级公益林中的有林地、省级公益林地、国有林地、基本草原、湿地。项目用地范围涉及土地面积0.4898公顷，均为集体人工商品乔木林地，林地保护等级为级。</w:t>
                  </w:r>
                </w:p>
              </w:tc>
              <w:tc>
                <w:tcPr>
                  <w:tcW w:w="478"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第二十二条</w:t>
                  </w:r>
                </w:p>
              </w:tc>
              <w:tc>
                <w:tcPr>
                  <w:tcW w:w="2548"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建设项目临时占用林地期满后，用地单位应当在一年内恢复被使用林地的林业生产条件。</w:t>
                  </w:r>
                </w:p>
              </w:tc>
              <w:tc>
                <w:tcPr>
                  <w:tcW w:w="1537"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项目施工结束后，对临时占用林地立即进行恢复</w:t>
                  </w:r>
                </w:p>
              </w:tc>
              <w:tc>
                <w:tcPr>
                  <w:tcW w:w="478" w:type="pct"/>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bl>
          <w:p>
            <w:pPr>
              <w:widowControl w:val="0"/>
              <w:spacing w:line="360" w:lineRule="auto"/>
              <w:ind w:firstLine="48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综上所述，本项目与《建设项目使用林地审核审批管理办法》（国家林业局令第35号）的要求相符。</w:t>
            </w:r>
          </w:p>
          <w:p>
            <w:pPr>
              <w:widowControl w:val="0"/>
              <w:spacing w:line="360" w:lineRule="auto"/>
              <w:ind w:firstLine="480"/>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十九、项目与《云南省林地管理办法》的符合性分析</w:t>
            </w:r>
          </w:p>
          <w:p>
            <w:pPr>
              <w:widowControl w:val="0"/>
              <w:spacing w:line="360" w:lineRule="auto"/>
              <w:ind w:firstLine="48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项目与《云南省林地管理办法》的符合性分析见下表</w:t>
            </w:r>
          </w:p>
          <w:p>
            <w:pPr>
              <w:pStyle w:val="57"/>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表1-17 项目与《云南省林地管理办法》的符合性分析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4660"/>
              <w:gridCol w:w="2050"/>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序号</w:t>
                  </w:r>
                </w:p>
              </w:tc>
              <w:tc>
                <w:tcPr>
                  <w:tcW w:w="4660" w:type="dxa"/>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办法要求</w:t>
                  </w:r>
                </w:p>
              </w:tc>
              <w:tc>
                <w:tcPr>
                  <w:tcW w:w="2050" w:type="dxa"/>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项目情况</w:t>
                  </w:r>
                </w:p>
              </w:tc>
              <w:tc>
                <w:tcPr>
                  <w:tcW w:w="1109" w:type="dxa"/>
                  <w:vAlign w:val="center"/>
                </w:tcPr>
                <w:p>
                  <w:pPr>
                    <w:pStyle w:val="58"/>
                    <w:bidi w:val="0"/>
                    <w:rPr>
                      <w:rFonts w:hint="eastAsia" w:ascii="仿宋" w:hAnsi="仿宋" w:eastAsia="仿宋" w:cs="仿宋"/>
                      <w:b/>
                      <w:bCs w:val="0"/>
                      <w:color w:val="000000" w:themeColor="text1"/>
                      <w:sz w:val="21"/>
                      <w:szCs w:val="21"/>
                      <w:lang w:val="en-US" w:eastAsia="zh-CN"/>
                      <w14:textFill>
                        <w14:solidFill>
                          <w14:schemeClr w14:val="tx1"/>
                        </w14:solidFill>
                      </w14:textFill>
                    </w:rPr>
                  </w:pPr>
                  <w:r>
                    <w:rPr>
                      <w:rFonts w:hint="eastAsia" w:ascii="仿宋" w:hAnsi="仿宋" w:eastAsia="仿宋" w:cs="仿宋"/>
                      <w:b/>
                      <w:bCs w:val="0"/>
                      <w:color w:val="000000" w:themeColor="text1"/>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第十二条</w:t>
                  </w:r>
                </w:p>
              </w:tc>
              <w:tc>
                <w:tcPr>
                  <w:tcW w:w="4660" w:type="dxa"/>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用、征收、征用林地的单位或者个人必须按规定办理林地使用许可证，并按批准的面积、位置使用林地。需采伐林木的，必须在当年森林采伐限额以内向所在地的县级以上林业行政主管部门办理林木采伐许可证。</w:t>
                  </w:r>
                </w:p>
              </w:tc>
              <w:tc>
                <w:tcPr>
                  <w:tcW w:w="2050" w:type="dxa"/>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本项目目前已经在办理占用林地的许可手续，后期将严格要求进行范围使用</w:t>
                  </w:r>
                </w:p>
              </w:tc>
              <w:tc>
                <w:tcPr>
                  <w:tcW w:w="1109" w:type="dxa"/>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第十四条</w:t>
                  </w:r>
                </w:p>
              </w:tc>
              <w:tc>
                <w:tcPr>
                  <w:tcW w:w="4660" w:type="dxa"/>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因临时占用林地损坏植被的，由用地单位或者个人负责恢复林业生产条件，并依法交纳森林植被恢复费。</w:t>
                  </w:r>
                </w:p>
              </w:tc>
              <w:tc>
                <w:tcPr>
                  <w:tcW w:w="2050" w:type="dxa"/>
                  <w:vAlign w:val="center"/>
                </w:tcPr>
                <w:p>
                  <w:pPr>
                    <w:pStyle w:val="58"/>
                    <w:bidi w:val="0"/>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项目施工结束后，对临时占用林地立即进行恢复</w:t>
                  </w:r>
                </w:p>
              </w:tc>
              <w:tc>
                <w:tcPr>
                  <w:tcW w:w="1109" w:type="dxa"/>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符合</w:t>
                  </w:r>
                </w:p>
              </w:tc>
            </w:tr>
          </w:tbl>
          <w:p>
            <w:pPr>
              <w:widowControl w:val="0"/>
              <w:spacing w:line="360" w:lineRule="auto"/>
              <w:ind w:firstLine="48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综上所述，本项目与《云南省林地管理办法》的要求相符。</w:t>
            </w:r>
          </w:p>
        </w:tc>
      </w:tr>
    </w:tbl>
    <w:p>
      <w:pPr>
        <w:spacing w:line="360" w:lineRule="auto"/>
        <w:outlineLvl w:val="9"/>
        <w:rPr>
          <w:rFonts w:eastAsia="黑体"/>
          <w:color w:val="000000" w:themeColor="text1"/>
          <w:sz w:val="30"/>
          <w14:textFill>
            <w14:solidFill>
              <w14:schemeClr w14:val="tx1"/>
            </w14:solidFill>
          </w14:textFill>
        </w:rPr>
        <w:sectPr>
          <w:footerReference r:id="rId7" w:type="default"/>
          <w:pgSz w:w="11906" w:h="16838"/>
          <w:pgMar w:top="1701" w:right="1531" w:bottom="1701" w:left="1531" w:header="1077"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1"/>
        <w:spacing w:line="240" w:lineRule="auto"/>
        <w:jc w:val="center"/>
        <w:outlineLvl w:val="0"/>
        <w:rPr>
          <w:rFonts w:hint="eastAsia" w:ascii="黑体" w:hAnsi="黑体" w:eastAsia="黑体"/>
          <w:snapToGrid w:val="0"/>
          <w:color w:val="000000" w:themeColor="text1"/>
          <w:sz w:val="30"/>
          <w:szCs w:val="30"/>
          <w14:textFill>
            <w14:solidFill>
              <w14:schemeClr w14:val="tx1"/>
            </w14:solidFill>
          </w14:textFill>
        </w:rPr>
      </w:pPr>
      <w:bookmarkStart w:id="15" w:name="_Toc30478"/>
      <w:r>
        <w:rPr>
          <w:rFonts w:hint="eastAsia" w:ascii="黑体" w:hAnsi="黑体" w:eastAsia="黑体"/>
          <w:snapToGrid w:val="0"/>
          <w:color w:val="000000" w:themeColor="text1"/>
          <w:sz w:val="30"/>
          <w:szCs w:val="30"/>
          <w14:textFill>
            <w14:solidFill>
              <w14:schemeClr w14:val="tx1"/>
            </w14:solidFill>
          </w14:textFill>
        </w:rPr>
        <w:t>二、建设内容</w:t>
      </w:r>
      <w:bookmarkEnd w:id="15"/>
    </w:p>
    <w:tbl>
      <w:tblPr>
        <w:tblStyle w:val="24"/>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8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7" w:hRule="atLeast"/>
          <w:jc w:val="center"/>
        </w:trPr>
        <w:tc>
          <w:tcPr>
            <w:tcW w:w="1059"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地理</w:t>
            </w:r>
          </w:p>
          <w:p>
            <w:pPr>
              <w:adjustRightInd w:val="0"/>
              <w:snapToGrid w:val="0"/>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位置</w:t>
            </w:r>
          </w:p>
        </w:tc>
        <w:tc>
          <w:tcPr>
            <w:tcW w:w="81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“千乡万村驭风行动”莲峰村项目位于云南省大理白族自治州弥渡县，场址中心距弥渡县城约39.9km，距大理市直线距离约99.2km。场区地理坐标为北纬25°09'35"～25°09'43"，东经100°32'42"～100°33'52"；开关站坐标：位于</w:t>
            </w:r>
            <w:r>
              <w:rPr>
                <w:rFonts w:hint="eastAsia" w:ascii="仿宋" w:hAnsi="仿宋" w:eastAsia="仿宋" w:cs="仿宋"/>
                <w:color w:val="000000" w:themeColor="text1"/>
                <w:kern w:val="0"/>
                <w:sz w:val="24"/>
                <w:szCs w:val="24"/>
                <w:lang w:val="en-US" w:eastAsia="zh-CN"/>
                <w14:textFill>
                  <w14:solidFill>
                    <w14:schemeClr w14:val="tx1"/>
                  </w14:solidFill>
                </w14:textFill>
              </w:rPr>
              <w:t>WTG</w:t>
            </w:r>
            <w:r>
              <w:rPr>
                <w:rFonts w:hint="eastAsia" w:ascii="仿宋" w:hAnsi="仿宋" w:eastAsia="仿宋" w:cs="仿宋"/>
                <w:color w:val="000000" w:themeColor="text1"/>
                <w:kern w:val="0"/>
                <w:sz w:val="24"/>
                <w:szCs w:val="24"/>
                <w14:textFill>
                  <w14:solidFill>
                    <w14:schemeClr w14:val="tx1"/>
                  </w14:solidFill>
                </w14:textFill>
              </w:rPr>
              <w:t>2#风机北向</w:t>
            </w:r>
            <w:r>
              <w:rPr>
                <w:rFonts w:hint="eastAsia" w:ascii="仿宋" w:hAnsi="仿宋" w:eastAsia="仿宋" w:cs="仿宋"/>
                <w:color w:val="000000" w:themeColor="text1"/>
                <w:kern w:val="0"/>
                <w:sz w:val="24"/>
                <w:szCs w:val="24"/>
                <w:lang w:eastAsia="zh-CN"/>
                <w14:textFill>
                  <w14:solidFill>
                    <w14:schemeClr w14:val="tx1"/>
                  </w14:solidFill>
                </w14:textFill>
              </w:rPr>
              <w:t>直线距离</w:t>
            </w:r>
            <w:r>
              <w:rPr>
                <w:rFonts w:hint="eastAsia" w:ascii="仿宋" w:hAnsi="仿宋" w:eastAsia="仿宋" w:cs="仿宋"/>
                <w:color w:val="000000" w:themeColor="text1"/>
                <w:kern w:val="0"/>
                <w:sz w:val="24"/>
                <w:szCs w:val="24"/>
                <w14:textFill>
                  <w14:solidFill>
                    <w14:schemeClr w14:val="tx1"/>
                  </w14:solidFill>
                </w14:textFill>
              </w:rPr>
              <w:t>约200m处。场址周边主要道路有国道G214（祥临公路）、县道苴密线、乡村公路等多条道路连通，交通运输条件较为便利。项目地理位置图见附图1。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9" w:type="dxa"/>
            <w:noWrap w:val="0"/>
            <w:vAlign w:val="center"/>
          </w:tcPr>
          <w:p>
            <w:pPr>
              <w:adjustRightInd w:val="0"/>
              <w:snapToGrid w:val="0"/>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项目组成及规模</w:t>
            </w:r>
          </w:p>
        </w:tc>
        <w:tc>
          <w:tcPr>
            <w:tcW w:w="81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color w:val="000000" w:themeColor="text1"/>
                <w:kern w:val="0"/>
                <w:sz w:val="24"/>
                <w:szCs w:val="24"/>
                <w14:textFill>
                  <w14:solidFill>
                    <w14:schemeClr w14:val="tx1"/>
                  </w14:solidFill>
                </w14:textFill>
              </w:rPr>
            </w:pPr>
            <w:r>
              <w:rPr>
                <w:rFonts w:hint="default" w:ascii="仿宋" w:hAnsi="仿宋" w:eastAsia="仿宋" w:cs="仿宋"/>
                <w:b/>
                <w:bCs/>
                <w:color w:val="000000" w:themeColor="text1"/>
                <w:kern w:val="0"/>
                <w:sz w:val="24"/>
                <w:szCs w:val="24"/>
                <w14:textFill>
                  <w14:solidFill>
                    <w14:schemeClr w14:val="tx1"/>
                  </w14:solidFill>
                </w14:textFill>
              </w:rPr>
              <w:t>1、工程概况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项目规划总装机容量为20MW，拟建设4台单机容量为5MW风力发电机组，同时场内配套新建一座35kV开关站。每台风力发电机组配置一台箱式变电站，箱式变电站容量为5500kVA。风力发电机组与箱式变电站之间采用一机一变单元接线方式，发电机出口电压为1.14kV，通过箱式变电站升压至35kV，通过1回电缆集电线路接入新建35kV开关站，再以1回35kV线路T接至110kV桐白线，线路长度约8km。项目建成后，年上网电量为5776.081万kWh，年等效满负荷小时数为2888.04h。本项目依据《云南省“千乡万村驭风行动”第一批项目开发建设方案》相关要求实施，项目名称为“千乡万村驭风行动”莲峰村项目，由</w:t>
            </w:r>
            <w:r>
              <w:rPr>
                <w:rFonts w:hint="eastAsia" w:ascii="仿宋" w:hAnsi="仿宋" w:eastAsia="仿宋" w:cs="仿宋"/>
                <w:color w:val="000000" w:themeColor="text1"/>
                <w:kern w:val="0"/>
                <w:sz w:val="24"/>
                <w:szCs w:val="24"/>
                <w:lang w:eastAsia="zh-CN"/>
                <w14:textFill>
                  <w14:solidFill>
                    <w14:schemeClr w14:val="tx1"/>
                  </w14:solidFill>
                </w14:textFill>
              </w:rPr>
              <w:t>弥渡福兴新能源有限公司</w:t>
            </w:r>
            <w:r>
              <w:rPr>
                <w:rFonts w:hint="eastAsia" w:ascii="仿宋" w:hAnsi="仿宋" w:eastAsia="仿宋" w:cs="仿宋"/>
                <w:color w:val="000000" w:themeColor="text1"/>
                <w:kern w:val="0"/>
                <w:sz w:val="24"/>
                <w:szCs w:val="24"/>
                <w14:textFill>
                  <w14:solidFill>
                    <w14:schemeClr w14:val="tx1"/>
                  </w14:solidFill>
                </w14:textFill>
              </w:rPr>
              <w:t>作为业主单位开展建设工作。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color w:val="000000" w:themeColor="text1"/>
                <w:kern w:val="0"/>
                <w:sz w:val="24"/>
                <w:szCs w:val="24"/>
                <w14:textFill>
                  <w14:solidFill>
                    <w14:schemeClr w14:val="tx1"/>
                  </w14:solidFill>
                </w14:textFill>
              </w:rPr>
            </w:pPr>
            <w:r>
              <w:rPr>
                <w:rFonts w:hint="default" w:ascii="仿宋" w:hAnsi="仿宋" w:eastAsia="仿宋" w:cs="仿宋"/>
                <w:color w:val="000000" w:themeColor="text1"/>
                <w:kern w:val="0"/>
                <w:sz w:val="24"/>
                <w:szCs w:val="24"/>
                <w14:textFill>
                  <w14:solidFill>
                    <w14:schemeClr w14:val="tx1"/>
                  </w14:solidFill>
                </w14:textFill>
              </w:rPr>
              <w:t>根据《建设项目环境影响评价分类管理名录（2021版）》，项目属于“四十一、电力、热力生产和供应业，90、</w:t>
            </w:r>
            <w:r>
              <w:rPr>
                <w:rFonts w:hint="default" w:ascii="仿宋" w:hAnsi="仿宋" w:eastAsia="仿宋" w:cs="仿宋"/>
                <w:color w:val="000000" w:themeColor="text1"/>
                <w:kern w:val="0"/>
                <w:sz w:val="24"/>
                <w:szCs w:val="24"/>
                <w:lang w:val="en-US" w:eastAsia="zh-CN"/>
                <w14:textFill>
                  <w14:solidFill>
                    <w14:schemeClr w14:val="tx1"/>
                  </w14:solidFill>
                </w14:textFill>
              </w:rPr>
              <w:t>陆上风力发电4415</w:t>
            </w:r>
            <w:r>
              <w:rPr>
                <w:rFonts w:hint="default" w:ascii="仿宋" w:hAnsi="仿宋" w:eastAsia="仿宋" w:cs="仿宋"/>
                <w:color w:val="000000" w:themeColor="text1"/>
                <w:kern w:val="0"/>
                <w:sz w:val="24"/>
                <w:szCs w:val="24"/>
                <w14:textFill>
                  <w14:solidFill>
                    <w14:schemeClr w14:val="tx1"/>
                  </w14:solidFill>
                </w14:textFill>
              </w:rPr>
              <w:t>”中的“</w:t>
            </w:r>
            <w:r>
              <w:rPr>
                <w:rFonts w:hint="default" w:ascii="仿宋" w:hAnsi="仿宋" w:eastAsia="仿宋" w:cs="仿宋"/>
                <w:color w:val="000000" w:themeColor="text1"/>
                <w:kern w:val="0"/>
                <w:sz w:val="24"/>
                <w:szCs w:val="24"/>
                <w:lang w:val="en-US" w:eastAsia="zh-CN"/>
                <w14:textFill>
                  <w14:solidFill>
                    <w14:schemeClr w14:val="tx1"/>
                  </w14:solidFill>
                </w14:textFill>
              </w:rPr>
              <w:t>其他风力发电</w:t>
            </w:r>
            <w:r>
              <w:rPr>
                <w:rFonts w:hint="default" w:ascii="仿宋" w:hAnsi="仿宋" w:eastAsia="仿宋" w:cs="仿宋"/>
                <w:color w:val="000000" w:themeColor="text1"/>
                <w:kern w:val="0"/>
                <w:sz w:val="24"/>
                <w:szCs w:val="24"/>
                <w14:textFill>
                  <w14:solidFill>
                    <w14:schemeClr w14:val="tx1"/>
                  </w14:solidFill>
                </w14:textFill>
              </w:rPr>
              <w:t>”。受</w:t>
            </w:r>
            <w:r>
              <w:rPr>
                <w:rFonts w:hint="eastAsia" w:ascii="仿宋" w:hAnsi="仿宋" w:eastAsia="仿宋" w:cs="仿宋"/>
                <w:color w:val="000000" w:themeColor="text1"/>
                <w:kern w:val="0"/>
                <w:sz w:val="24"/>
                <w:szCs w:val="24"/>
                <w:lang w:eastAsia="zh-CN"/>
                <w14:textFill>
                  <w14:solidFill>
                    <w14:schemeClr w14:val="tx1"/>
                  </w14:solidFill>
                </w14:textFill>
              </w:rPr>
              <w:t>弥渡福兴新能源有限公司</w:t>
            </w:r>
            <w:r>
              <w:rPr>
                <w:rFonts w:hint="default" w:ascii="仿宋" w:hAnsi="仿宋" w:eastAsia="仿宋" w:cs="仿宋"/>
                <w:color w:val="000000" w:themeColor="text1"/>
                <w:kern w:val="0"/>
                <w:sz w:val="24"/>
                <w:szCs w:val="24"/>
                <w14:textFill>
                  <w14:solidFill>
                    <w14:schemeClr w14:val="tx1"/>
                  </w14:solidFill>
                </w14:textFill>
              </w:rPr>
              <w:t>委托（委托书详见“附件1”），</w:t>
            </w:r>
            <w:r>
              <w:rPr>
                <w:rFonts w:hint="eastAsia" w:ascii="仿宋" w:hAnsi="仿宋" w:eastAsia="仿宋" w:cs="仿宋"/>
                <w:color w:val="000000" w:themeColor="text1"/>
                <w:kern w:val="0"/>
                <w:sz w:val="24"/>
                <w:szCs w:val="24"/>
                <w:lang w:eastAsia="zh-CN"/>
                <w14:textFill>
                  <w14:solidFill>
                    <w14:schemeClr w14:val="tx1"/>
                  </w14:solidFill>
                </w14:textFill>
              </w:rPr>
              <w:t>我</w:t>
            </w:r>
            <w:r>
              <w:rPr>
                <w:rFonts w:hint="default" w:ascii="仿宋" w:hAnsi="仿宋" w:eastAsia="仿宋" w:cs="仿宋"/>
                <w:color w:val="000000" w:themeColor="text1"/>
                <w:kern w:val="0"/>
                <w:sz w:val="24"/>
                <w:szCs w:val="24"/>
                <w14:textFill>
                  <w14:solidFill>
                    <w14:schemeClr w14:val="tx1"/>
                  </w14:solidFill>
                </w14:textFill>
              </w:rPr>
              <w:t>公司承担</w:t>
            </w:r>
            <w:r>
              <w:rPr>
                <w:rFonts w:hint="eastAsia" w:ascii="仿宋" w:hAnsi="仿宋" w:eastAsia="仿宋" w:cs="仿宋"/>
                <w:color w:val="000000" w:themeColor="text1"/>
                <w:kern w:val="0"/>
                <w:sz w:val="24"/>
                <w:szCs w:val="24"/>
                <w:lang w:eastAsia="zh-CN"/>
                <w14:textFill>
                  <w14:solidFill>
                    <w14:schemeClr w14:val="tx1"/>
                  </w14:solidFill>
                </w14:textFill>
              </w:rPr>
              <w:t>本项目</w:t>
            </w:r>
            <w:r>
              <w:rPr>
                <w:rFonts w:hint="default" w:ascii="仿宋" w:hAnsi="仿宋" w:eastAsia="仿宋" w:cs="仿宋"/>
                <w:color w:val="000000" w:themeColor="text1"/>
                <w:kern w:val="0"/>
                <w:sz w:val="24"/>
                <w:szCs w:val="24"/>
                <w14:textFill>
                  <w14:solidFill>
                    <w14:schemeClr w14:val="tx1"/>
                  </w14:solidFill>
                </w14:textFill>
              </w:rPr>
              <w:t>环境影响评价工作。</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我公司接受委托后，即刻组建项目组，并按照相关要求开展现场踏勘、资料收集以及生态调查工作，同时依据《建设项目环境影响报告表编制技术指南（生态影响类）（试行）》的相关要求，编制完成《</w:t>
            </w:r>
            <w:r>
              <w:rPr>
                <w:rFonts w:hint="eastAsia" w:ascii="仿宋" w:hAnsi="仿宋" w:eastAsia="仿宋" w:cs="仿宋"/>
                <w:color w:val="000000" w:themeColor="text1"/>
                <w:sz w:val="24"/>
                <w:szCs w:val="24"/>
                <w:lang w:val="en-US" w:eastAsia="zh-CN"/>
                <w14:textFill>
                  <w14:solidFill>
                    <w14:schemeClr w14:val="tx1"/>
                  </w14:solidFill>
                </w14:textFill>
              </w:rPr>
              <w:t>“千乡万村驭风行动”莲峰村项目</w:t>
            </w:r>
            <w:r>
              <w:rPr>
                <w:rFonts w:hint="eastAsia" w:ascii="仿宋" w:hAnsi="仿宋" w:eastAsia="仿宋" w:cs="仿宋"/>
                <w:color w:val="000000" w:themeColor="text1"/>
                <w:kern w:val="0"/>
                <w:sz w:val="24"/>
                <w:highlight w:val="none"/>
                <w:lang w:val="en-US" w:eastAsia="zh-CN" w:bidi="ar"/>
                <w14:textFill>
                  <w14:solidFill>
                    <w14:schemeClr w14:val="tx1"/>
                  </w14:solidFill>
                </w14:textFill>
              </w:rPr>
              <w:t>环境影响报告表》（生态影响类）（送审稿），以供建设单位上报审查。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14:textFill>
                  <w14:solidFill>
                    <w14:schemeClr w14:val="tx1"/>
                  </w14:solidFill>
                </w14:textFill>
              </w:rPr>
              <w:t>本次评价对象为风机、箱式变电站、35kV开关站、场内集电线路及进场与场内道路，开关站至110kV桐白线</w:t>
            </w:r>
            <w:r>
              <w:rPr>
                <w:rFonts w:hint="eastAsia" w:ascii="仿宋" w:hAnsi="仿宋" w:eastAsia="仿宋" w:cs="仿宋"/>
                <w:color w:val="000000" w:themeColor="text1"/>
                <w:kern w:val="0"/>
                <w:sz w:val="24"/>
                <w:szCs w:val="24"/>
                <w:lang w:val="en-US" w:eastAsia="zh-CN"/>
                <w14:textFill>
                  <w14:solidFill>
                    <w14:schemeClr w14:val="tx1"/>
                  </w14:solidFill>
                </w14:textFill>
              </w:rPr>
              <w:t>送出路线另行办理环评手续。</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color w:val="000000" w:themeColor="text1"/>
                <w:kern w:val="0"/>
                <w:sz w:val="24"/>
                <w:szCs w:val="24"/>
                <w14:textFill>
                  <w14:solidFill>
                    <w14:schemeClr w14:val="tx1"/>
                  </w14:solidFill>
                </w14:textFill>
              </w:rPr>
            </w:pPr>
            <w:r>
              <w:rPr>
                <w:rFonts w:hint="default" w:ascii="仿宋" w:hAnsi="仿宋" w:eastAsia="仿宋" w:cs="仿宋"/>
                <w:b/>
                <w:bCs/>
                <w:color w:val="000000" w:themeColor="text1"/>
                <w:kern w:val="0"/>
                <w:sz w:val="24"/>
                <w:szCs w:val="24"/>
                <w14:textFill>
                  <w14:solidFill>
                    <w14:schemeClr w14:val="tx1"/>
                  </w14:solidFill>
                </w14:textFill>
              </w:rPr>
              <w:t>2、工程组成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000000" w:themeColor="text1"/>
                <w:kern w:val="0"/>
                <w:sz w:val="24"/>
                <w:szCs w:val="24"/>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本项目主要由主体工程、公辅工程、依托工程和环保工程组成，</w:t>
            </w:r>
            <w:r>
              <w:rPr>
                <w:rFonts w:hint="default" w:ascii="仿宋" w:hAnsi="仿宋" w:eastAsia="仿宋" w:cs="仿宋"/>
                <w:color w:val="000000" w:themeColor="text1"/>
                <w:kern w:val="0"/>
                <w:sz w:val="24"/>
                <w:szCs w:val="24"/>
                <w14:textFill>
                  <w14:solidFill>
                    <w14:schemeClr w14:val="tx1"/>
                  </w14:solidFill>
                </w14:textFill>
              </w:rPr>
              <w:t>项目工程组成及主要建设内容见表2-1。</w:t>
            </w:r>
          </w:p>
          <w:p>
            <w:pPr>
              <w:pStyle w:val="5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表2-1  工程组成及主要建设内容一览表</w:t>
            </w:r>
          </w:p>
          <w:tbl>
            <w:tblPr>
              <w:tblStyle w:val="24"/>
              <w:tblW w:w="49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64"/>
              <w:gridCol w:w="613"/>
              <w:gridCol w:w="445"/>
              <w:gridCol w:w="4834"/>
              <w:gridCol w:w="791"/>
              <w:gridCol w:w="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noWrap w:val="0"/>
                  <w:vAlign w:val="center"/>
                </w:tcPr>
                <w:p>
                  <w:pPr>
                    <w:pStyle w:val="58"/>
                    <w:bidi w:val="0"/>
                    <w:rPr>
                      <w:rFonts w:hint="eastAsia" w:ascii="仿宋" w:hAnsi="仿宋" w:eastAsia="仿宋" w:cs="仿宋"/>
                      <w:b/>
                      <w:bCs w:val="0"/>
                      <w:color w:val="000000" w:themeColor="text1"/>
                      <w14:textFill>
                        <w14:solidFill>
                          <w14:schemeClr w14:val="tx1"/>
                        </w14:solidFill>
                      </w14:textFill>
                    </w:rPr>
                  </w:pPr>
                  <w:r>
                    <w:rPr>
                      <w:rFonts w:hint="eastAsia" w:ascii="仿宋" w:hAnsi="仿宋" w:eastAsia="仿宋" w:cs="仿宋"/>
                      <w:b/>
                      <w:bCs w:val="0"/>
                      <w:color w:val="000000" w:themeColor="text1"/>
                      <w14:textFill>
                        <w14:solidFill>
                          <w14:schemeClr w14:val="tx1"/>
                        </w14:solidFill>
                      </w14:textFill>
                    </w:rPr>
                    <w:t>工程</w:t>
                  </w:r>
                </w:p>
                <w:p>
                  <w:pPr>
                    <w:pStyle w:val="58"/>
                    <w:bidi w:val="0"/>
                    <w:rPr>
                      <w:rFonts w:hint="eastAsia" w:ascii="仿宋" w:hAnsi="仿宋" w:eastAsia="仿宋" w:cs="仿宋"/>
                      <w:b/>
                      <w:bCs w:val="0"/>
                      <w:color w:val="000000" w:themeColor="text1"/>
                      <w14:textFill>
                        <w14:solidFill>
                          <w14:schemeClr w14:val="tx1"/>
                        </w14:solidFill>
                      </w14:textFill>
                    </w:rPr>
                  </w:pPr>
                  <w:r>
                    <w:rPr>
                      <w:rFonts w:hint="eastAsia" w:ascii="仿宋" w:hAnsi="仿宋" w:eastAsia="仿宋" w:cs="仿宋"/>
                      <w:b/>
                      <w:bCs w:val="0"/>
                      <w:color w:val="000000" w:themeColor="text1"/>
                      <w14:textFill>
                        <w14:solidFill>
                          <w14:schemeClr w14:val="tx1"/>
                        </w14:solidFill>
                      </w14:textFill>
                    </w:rPr>
                    <w:t>类别</w:t>
                  </w:r>
                </w:p>
              </w:tc>
              <w:tc>
                <w:tcPr>
                  <w:tcW w:w="683" w:type="pct"/>
                  <w:gridSpan w:val="2"/>
                  <w:noWrap w:val="0"/>
                  <w:vAlign w:val="center"/>
                </w:tcPr>
                <w:p>
                  <w:pPr>
                    <w:pStyle w:val="58"/>
                    <w:bidi w:val="0"/>
                    <w:rPr>
                      <w:rFonts w:hint="eastAsia" w:ascii="仿宋" w:hAnsi="仿宋" w:eastAsia="仿宋" w:cs="仿宋"/>
                      <w:b/>
                      <w:bCs w:val="0"/>
                      <w:color w:val="000000" w:themeColor="text1"/>
                      <w14:textFill>
                        <w14:solidFill>
                          <w14:schemeClr w14:val="tx1"/>
                        </w14:solidFill>
                      </w14:textFill>
                    </w:rPr>
                  </w:pPr>
                  <w:r>
                    <w:rPr>
                      <w:rFonts w:hint="eastAsia" w:ascii="仿宋" w:hAnsi="仿宋" w:eastAsia="仿宋" w:cs="仿宋"/>
                      <w:b/>
                      <w:bCs w:val="0"/>
                      <w:color w:val="000000" w:themeColor="text1"/>
                      <w14:textFill>
                        <w14:solidFill>
                          <w14:schemeClr w14:val="tx1"/>
                        </w14:solidFill>
                      </w14:textFill>
                    </w:rPr>
                    <w:t>工程</w:t>
                  </w:r>
                </w:p>
                <w:p>
                  <w:pPr>
                    <w:pStyle w:val="58"/>
                    <w:bidi w:val="0"/>
                    <w:rPr>
                      <w:rFonts w:hint="eastAsia" w:ascii="仿宋" w:hAnsi="仿宋" w:eastAsia="仿宋" w:cs="仿宋"/>
                      <w:b/>
                      <w:bCs w:val="0"/>
                      <w:color w:val="000000" w:themeColor="text1"/>
                      <w14:textFill>
                        <w14:solidFill>
                          <w14:schemeClr w14:val="tx1"/>
                        </w14:solidFill>
                      </w14:textFill>
                    </w:rPr>
                  </w:pPr>
                  <w:r>
                    <w:rPr>
                      <w:rFonts w:hint="eastAsia" w:ascii="仿宋" w:hAnsi="仿宋" w:eastAsia="仿宋" w:cs="仿宋"/>
                      <w:b/>
                      <w:bCs w:val="0"/>
                      <w:color w:val="000000" w:themeColor="text1"/>
                      <w14:textFill>
                        <w14:solidFill>
                          <w14:schemeClr w14:val="tx1"/>
                        </w14:solidFill>
                      </w14:textFill>
                    </w:rPr>
                    <w:t>名称</w:t>
                  </w:r>
                </w:p>
              </w:tc>
              <w:tc>
                <w:tcPr>
                  <w:tcW w:w="3352" w:type="pct"/>
                  <w:gridSpan w:val="2"/>
                  <w:noWrap w:val="0"/>
                  <w:vAlign w:val="center"/>
                </w:tcPr>
                <w:p>
                  <w:pPr>
                    <w:pStyle w:val="58"/>
                    <w:bidi w:val="0"/>
                    <w:rPr>
                      <w:rFonts w:hint="eastAsia" w:ascii="仿宋" w:hAnsi="仿宋" w:eastAsia="仿宋" w:cs="仿宋"/>
                      <w:b/>
                      <w:bCs w:val="0"/>
                      <w:color w:val="000000" w:themeColor="text1"/>
                      <w14:textFill>
                        <w14:solidFill>
                          <w14:schemeClr w14:val="tx1"/>
                        </w14:solidFill>
                      </w14:textFill>
                    </w:rPr>
                  </w:pPr>
                  <w:r>
                    <w:rPr>
                      <w:rFonts w:hint="eastAsia" w:ascii="仿宋" w:hAnsi="仿宋" w:eastAsia="仿宋" w:cs="仿宋"/>
                      <w:b/>
                      <w:bCs w:val="0"/>
                      <w:color w:val="000000" w:themeColor="text1"/>
                      <w14:textFill>
                        <w14:solidFill>
                          <w14:schemeClr w14:val="tx1"/>
                        </w14:solidFill>
                      </w14:textFill>
                    </w:rPr>
                    <w:t>工程内容及规模</w:t>
                  </w:r>
                </w:p>
              </w:tc>
              <w:tc>
                <w:tcPr>
                  <w:tcW w:w="502" w:type="pct"/>
                  <w:noWrap w:val="0"/>
                  <w:vAlign w:val="center"/>
                </w:tcPr>
                <w:p>
                  <w:pPr>
                    <w:pStyle w:val="58"/>
                    <w:bidi w:val="0"/>
                    <w:rPr>
                      <w:rFonts w:hint="eastAsia" w:ascii="仿宋" w:hAnsi="仿宋" w:eastAsia="仿宋" w:cs="仿宋"/>
                      <w:b/>
                      <w:bCs w:val="0"/>
                      <w:color w:val="000000" w:themeColor="text1"/>
                      <w:lang w:val="en-US" w:eastAsia="zh-CN"/>
                      <w14:textFill>
                        <w14:solidFill>
                          <w14:schemeClr w14:val="tx1"/>
                        </w14:solidFill>
                      </w14:textFill>
                    </w:rPr>
                  </w:pPr>
                  <w:r>
                    <w:rPr>
                      <w:rFonts w:hint="eastAsia" w:ascii="仿宋" w:hAnsi="仿宋" w:eastAsia="仿宋" w:cs="仿宋"/>
                      <w:b/>
                      <w:bCs w:val="0"/>
                      <w:color w:val="000000" w:themeColor="text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472" w:hRule="atLeast"/>
              </w:trPr>
              <w:tc>
                <w:tcPr>
                  <w:tcW w:w="450" w:type="pct"/>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主体</w:t>
                  </w:r>
                </w:p>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工程</w:t>
                  </w:r>
                </w:p>
              </w:tc>
              <w:tc>
                <w:tcPr>
                  <w:tcW w:w="683" w:type="pct"/>
                  <w:gridSpan w:val="2"/>
                  <w:noWrap w:val="0"/>
                  <w:vAlign w:val="center"/>
                </w:tcPr>
                <w:p>
                  <w:pPr>
                    <w:keepNext w:val="0"/>
                    <w:keepLines w:val="0"/>
                    <w:widowControl/>
                    <w:suppressLineNumbers w:val="0"/>
                    <w:ind w:left="0" w:leftChars="0" w:firstLine="0" w:firstLineChars="0"/>
                    <w:jc w:val="center"/>
                    <w:rPr>
                      <w:rFonts w:hint="eastAsia" w:ascii="仿宋" w:hAnsi="仿宋" w:eastAsia="仿宋" w:cs="仿宋"/>
                      <w:color w:val="000000" w:themeColor="text1"/>
                      <w:kern w:val="0"/>
                      <w:sz w:val="20"/>
                      <w:szCs w:val="20"/>
                      <w:lang w:val="en-US" w:eastAsia="zh-CN" w:bidi="ar"/>
                      <w14:textFill>
                        <w14:solidFill>
                          <w14:schemeClr w14:val="tx1"/>
                        </w14:solidFill>
                      </w14:textFill>
                    </w:rPr>
                  </w:pPr>
                  <w:r>
                    <w:rPr>
                      <w:rFonts w:hint="eastAsia" w:ascii="仿宋" w:hAnsi="仿宋" w:eastAsia="仿宋" w:cs="仿宋"/>
                      <w:color w:val="000000" w:themeColor="text1"/>
                      <w:kern w:val="0"/>
                      <w:sz w:val="20"/>
                      <w:szCs w:val="20"/>
                      <w:lang w:val="en-US" w:eastAsia="zh-CN" w:bidi="ar"/>
                      <w14:textFill>
                        <w14:solidFill>
                          <w14:schemeClr w14:val="tx1"/>
                        </w14:solidFill>
                      </w14:textFill>
                    </w:rPr>
                    <w:t>风机</w:t>
                  </w:r>
                </w:p>
                <w:p>
                  <w:pPr>
                    <w:keepNext w:val="0"/>
                    <w:keepLines w:val="0"/>
                    <w:widowControl/>
                    <w:suppressLineNumbers w:val="0"/>
                    <w:ind w:left="0" w:leftChars="0" w:firstLine="0" w:firstLineChars="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0"/>
                      <w:szCs w:val="20"/>
                      <w:lang w:val="en-US" w:eastAsia="zh-CN" w:bidi="ar"/>
                      <w14:textFill>
                        <w14:solidFill>
                          <w14:schemeClr w14:val="tx1"/>
                        </w14:solidFill>
                      </w14:textFill>
                    </w:rPr>
                    <w:t>机组</w:t>
                  </w:r>
                </w:p>
              </w:tc>
              <w:tc>
                <w:tcPr>
                  <w:tcW w:w="3352" w:type="pct"/>
                  <w:gridSpan w:val="2"/>
                  <w:noWrap w:val="0"/>
                  <w:vAlign w:val="center"/>
                </w:tcPr>
                <w:p>
                  <w:pPr>
                    <w:pStyle w:val="58"/>
                    <w:bidi w:val="0"/>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本项目</w:t>
                  </w:r>
                  <w:r>
                    <w:rPr>
                      <w:rFonts w:hint="eastAsia" w:ascii="仿宋" w:hAnsi="仿宋" w:eastAsia="仿宋" w:cs="仿宋"/>
                      <w:color w:val="000000" w:themeColor="text1"/>
                      <w14:textFill>
                        <w14:solidFill>
                          <w14:schemeClr w14:val="tx1"/>
                        </w14:solidFill>
                      </w14:textFill>
                    </w:rPr>
                    <w:t>共设置4台单机容量5MW风力发电机组，总装机容量20MW，轮毂高度120m；风机基础采用C40钢筋混凝土圆形扩展基础，基础分上、中、下三节，总高度约4.88m，底部直径22.4m；基础下设C20素混凝土垫层，基础内加抗裂纤维，开挖边坡按1:1.25~1:1.5处理。</w:t>
                  </w:r>
                </w:p>
              </w:tc>
              <w:tc>
                <w:tcPr>
                  <w:tcW w:w="502" w:type="pct"/>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箱式变电站</w:t>
                  </w:r>
                </w:p>
              </w:tc>
              <w:tc>
                <w:tcPr>
                  <w:tcW w:w="3352" w:type="pct"/>
                  <w:gridSpan w:val="2"/>
                  <w:noWrap w:val="0"/>
                  <w:vAlign w:val="center"/>
                </w:tcPr>
                <w:p>
                  <w:pPr>
                    <w:pStyle w:val="58"/>
                    <w:bidi w:val="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每台风机配置1台5500kVA 华式箱变，共4台；采用“一机一变”单元接线，风机出口电压1.14kV 经箱变升压至35kV，就地布置于风机附近。</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开关站</w:t>
                  </w:r>
                </w:p>
              </w:tc>
              <w:tc>
                <w:tcPr>
                  <w:tcW w:w="3352" w:type="pct"/>
                  <w:gridSpan w:val="2"/>
                  <w:noWrap w:val="0"/>
                  <w:vAlign w:val="center"/>
                </w:tcPr>
                <w:p>
                  <w:pPr>
                    <w:pStyle w:val="58"/>
                    <w:bidi w:val="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新建1座35kV全预制舱式开关站，占地面积1848m²，位于2#风机北向约200m；35kV侧采用单母线接线，配置5面开关柜、4MVarSVG动态无功补偿装置；以1回35kV线路T接至110kV桐白线，线路长约8km。</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集电</w:t>
                  </w:r>
                </w:p>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线路</w:t>
                  </w:r>
                </w:p>
              </w:tc>
              <w:tc>
                <w:tcPr>
                  <w:tcW w:w="3352" w:type="pct"/>
                  <w:gridSpan w:val="2"/>
                  <w:noWrap w:val="0"/>
                  <w:vAlign w:val="center"/>
                </w:tcPr>
                <w:p>
                  <w:pPr>
                    <w:pStyle w:val="58"/>
                    <w:bidi w:val="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采用35kV电缆直埋敷设，沿场内道路布置；风机与箱变、箱变与开关站间采用电缆连接，总长度约3.7km；全线采用复合接地网，接地电阻≤4Ω。</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267" w:hRule="atLeast"/>
              </w:trPr>
              <w:tc>
                <w:tcPr>
                  <w:tcW w:w="450" w:type="pct"/>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辅助</w:t>
                  </w:r>
                </w:p>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工程</w:t>
                  </w:r>
                </w:p>
              </w:tc>
              <w:tc>
                <w:tcPr>
                  <w:tcW w:w="683" w:type="pct"/>
                  <w:gridSpan w:val="2"/>
                  <w:vMerge w:val="restart"/>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道路</w:t>
                  </w:r>
                </w:p>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工程</w:t>
                  </w:r>
                </w:p>
              </w:tc>
              <w:tc>
                <w:tcPr>
                  <w:tcW w:w="282" w:type="pct"/>
                  <w:noWrap w:val="0"/>
                  <w:vAlign w:val="center"/>
                </w:tcPr>
                <w:p>
                  <w:pPr>
                    <w:pStyle w:val="58"/>
                    <w:bidi w:val="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场内交通</w:t>
                  </w:r>
                </w:p>
              </w:tc>
              <w:tc>
                <w:tcPr>
                  <w:tcW w:w="3069" w:type="pct"/>
                  <w:noWrap w:val="0"/>
                  <w:vAlign w:val="center"/>
                </w:tcPr>
                <w:p>
                  <w:pPr>
                    <w:pStyle w:val="58"/>
                    <w:bidi w:val="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本风电场工程布置有4台5MW风机和开关站，建筑物均布置于现有道路路边；密祉镇莲峰村至风电场区，有乡村公路和土路连通，除局部道路转弯半径不足需要改扩建，部分道路电力、通信架空线高度不够需要改建外，现有的道路基本能够满足本工程设备的运输要求。</w:t>
                  </w:r>
                </w:p>
              </w:tc>
              <w:tc>
                <w:tcPr>
                  <w:tcW w:w="502" w:type="pct"/>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267" w:hRule="atLeast"/>
              </w:trPr>
              <w:tc>
                <w:tcPr>
                  <w:tcW w:w="450" w:type="pct"/>
                  <w:vMerge w:val="continue"/>
                  <w:noWrap w:val="0"/>
                  <w:vAlign w:val="center"/>
                </w:tcPr>
                <w:p>
                  <w:pPr>
                    <w:pStyle w:val="58"/>
                    <w:bidi w:val="0"/>
                    <w:jc w:val="both"/>
                    <w:rPr>
                      <w:color w:val="000000" w:themeColor="text1"/>
                      <w14:textFill>
                        <w14:solidFill>
                          <w14:schemeClr w14:val="tx1"/>
                        </w14:solidFill>
                      </w14:textFill>
                    </w:rPr>
                  </w:pPr>
                </w:p>
              </w:tc>
              <w:tc>
                <w:tcPr>
                  <w:tcW w:w="683" w:type="pct"/>
                  <w:gridSpan w:val="2"/>
                  <w:vMerge w:val="continue"/>
                  <w:noWrap w:val="0"/>
                  <w:vAlign w:val="center"/>
                </w:tcPr>
                <w:p>
                  <w:pPr>
                    <w:pStyle w:val="58"/>
                    <w:bidi w:val="0"/>
                    <w:jc w:val="both"/>
                    <w:rPr>
                      <w:color w:val="000000" w:themeColor="text1"/>
                      <w14:textFill>
                        <w14:solidFill>
                          <w14:schemeClr w14:val="tx1"/>
                        </w14:solidFill>
                      </w14:textFill>
                    </w:rPr>
                  </w:pPr>
                </w:p>
              </w:tc>
              <w:tc>
                <w:tcPr>
                  <w:tcW w:w="282" w:type="pct"/>
                  <w:noWrap w:val="0"/>
                  <w:vAlign w:val="center"/>
                </w:tcPr>
                <w:p>
                  <w:pPr>
                    <w:pStyle w:val="58"/>
                    <w:bidi w:val="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场外交通</w:t>
                  </w:r>
                </w:p>
              </w:tc>
              <w:tc>
                <w:tcPr>
                  <w:tcW w:w="3069" w:type="pct"/>
                  <w:noWrap w:val="0"/>
                  <w:vAlign w:val="center"/>
                </w:tcPr>
                <w:p>
                  <w:pPr>
                    <w:pStyle w:val="58"/>
                    <w:bidi w:val="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本工程对外交通运输主要采用公路运输，风机叶片运输从弥渡东收费站下高速，其余风机设备：塔筒、机舱、轮毂等从苴力收费站下高速。昆明</w:t>
                  </w:r>
                  <w:r>
                    <w:rPr>
                      <w:rFonts w:hint="eastAsia" w:ascii="仿宋" w:hAnsi="仿宋" w:eastAsia="仿宋" w:cs="仿宋"/>
                      <w:color w:val="000000" w:themeColor="text1"/>
                      <w:lang w:val="en-US" w:eastAsia="zh-CN"/>
                      <w14:textFill>
                        <w14:solidFill>
                          <w14:schemeClr w14:val="tx1"/>
                        </w14:solidFill>
                      </w14:textFill>
                    </w:rPr>
                    <w:t>-</w:t>
                  </w:r>
                  <w:r>
                    <w:rPr>
                      <w:rFonts w:hint="eastAsia" w:ascii="仿宋" w:hAnsi="仿宋" w:eastAsia="仿宋" w:cs="仿宋"/>
                      <w:color w:val="000000" w:themeColor="text1"/>
                      <w:lang w:eastAsia="zh-CN"/>
                      <w14:textFill>
                        <w14:solidFill>
                          <w14:schemeClr w14:val="tx1"/>
                        </w14:solidFill>
                      </w14:textFill>
                    </w:rPr>
                    <w:t>苴力收费站出口，途经杭瑞高速及宾南高速，公路里程约324km；苴力收费站</w:t>
                  </w:r>
                  <w:r>
                    <w:rPr>
                      <w:rFonts w:hint="eastAsia" w:ascii="仿宋" w:hAnsi="仿宋" w:eastAsia="仿宋" w:cs="仿宋"/>
                      <w:color w:val="000000" w:themeColor="text1"/>
                      <w:lang w:val="en-US" w:eastAsia="zh-CN"/>
                      <w14:textFill>
                        <w14:solidFill>
                          <w14:schemeClr w14:val="tx1"/>
                        </w14:solidFill>
                      </w14:textFill>
                    </w:rPr>
                    <w:t>-</w:t>
                  </w:r>
                  <w:r>
                    <w:rPr>
                      <w:rFonts w:hint="eastAsia" w:ascii="仿宋" w:hAnsi="仿宋" w:eastAsia="仿宋" w:cs="仿宋"/>
                      <w:color w:val="000000" w:themeColor="text1"/>
                      <w:lang w:eastAsia="zh-CN"/>
                      <w14:textFill>
                        <w14:solidFill>
                          <w14:schemeClr w14:val="tx1"/>
                        </w14:solidFill>
                      </w14:textFill>
                    </w:rPr>
                    <w:t>莲峰村，途经国道G214（祥临公路）、县道（苴密线）、密祉河岸、乡村公路，公路里程约17km；莲峰村</w:t>
                  </w:r>
                  <w:r>
                    <w:rPr>
                      <w:rFonts w:hint="eastAsia" w:ascii="仿宋" w:hAnsi="仿宋" w:eastAsia="仿宋" w:cs="仿宋"/>
                      <w:color w:val="000000" w:themeColor="text1"/>
                      <w:lang w:val="en-US" w:eastAsia="zh-CN"/>
                      <w14:textFill>
                        <w14:solidFill>
                          <w14:schemeClr w14:val="tx1"/>
                        </w14:solidFill>
                      </w14:textFill>
                    </w:rPr>
                    <w:t>-</w:t>
                  </w:r>
                  <w:r>
                    <w:rPr>
                      <w:rFonts w:hint="eastAsia" w:ascii="仿宋" w:hAnsi="仿宋" w:eastAsia="仿宋" w:cs="仿宋"/>
                      <w:color w:val="000000" w:themeColor="text1"/>
                      <w:lang w:eastAsia="zh-CN"/>
                      <w14:textFill>
                        <w14:solidFill>
                          <w14:schemeClr w14:val="tx1"/>
                        </w14:solidFill>
                      </w14:textFill>
                    </w:rPr>
                    <w:t>开关站、</w:t>
                  </w:r>
                  <w:r>
                    <w:rPr>
                      <w:rFonts w:hint="eastAsia" w:ascii="仿宋" w:hAnsi="仿宋" w:eastAsia="仿宋" w:cs="仿宋"/>
                      <w:color w:val="000000" w:themeColor="text1"/>
                      <w:lang w:val="en-US" w:eastAsia="zh-CN"/>
                      <w14:textFill>
                        <w14:solidFill>
                          <w14:schemeClr w14:val="tx1"/>
                        </w14:solidFill>
                      </w14:textFill>
                    </w:rPr>
                    <w:t>WTG</w:t>
                  </w:r>
                  <w:r>
                    <w:rPr>
                      <w:rFonts w:hint="eastAsia" w:ascii="仿宋" w:hAnsi="仿宋" w:eastAsia="仿宋" w:cs="仿宋"/>
                      <w:color w:val="000000" w:themeColor="text1"/>
                      <w:lang w:eastAsia="zh-CN"/>
                      <w14:textFill>
                        <w14:solidFill>
                          <w14:schemeClr w14:val="tx1"/>
                        </w14:solidFill>
                      </w14:textFill>
                    </w:rPr>
                    <w:t>1#、</w:t>
                  </w:r>
                  <w:r>
                    <w:rPr>
                      <w:rFonts w:hint="eastAsia" w:ascii="仿宋" w:hAnsi="仿宋" w:eastAsia="仿宋" w:cs="仿宋"/>
                      <w:color w:val="000000" w:themeColor="text1"/>
                      <w:lang w:val="en-US" w:eastAsia="zh-CN"/>
                      <w14:textFill>
                        <w14:solidFill>
                          <w14:schemeClr w14:val="tx1"/>
                        </w14:solidFill>
                      </w14:textFill>
                    </w:rPr>
                    <w:t>WTG</w:t>
                  </w:r>
                  <w:r>
                    <w:rPr>
                      <w:rFonts w:hint="eastAsia" w:ascii="仿宋" w:hAnsi="仿宋" w:eastAsia="仿宋" w:cs="仿宋"/>
                      <w:color w:val="000000" w:themeColor="text1"/>
                      <w:lang w:eastAsia="zh-CN"/>
                      <w14:textFill>
                        <w14:solidFill>
                          <w14:schemeClr w14:val="tx1"/>
                        </w14:solidFill>
                      </w14:textFill>
                    </w:rPr>
                    <w:t>2#、</w:t>
                  </w:r>
                  <w:r>
                    <w:rPr>
                      <w:rFonts w:hint="eastAsia" w:ascii="仿宋" w:hAnsi="仿宋" w:eastAsia="仿宋" w:cs="仿宋"/>
                      <w:color w:val="000000" w:themeColor="text1"/>
                      <w:lang w:val="en-US" w:eastAsia="zh-CN"/>
                      <w14:textFill>
                        <w14:solidFill>
                          <w14:schemeClr w14:val="tx1"/>
                        </w14:solidFill>
                      </w14:textFill>
                    </w:rPr>
                    <w:t>WTG</w:t>
                  </w:r>
                  <w:r>
                    <w:rPr>
                      <w:rFonts w:hint="eastAsia" w:ascii="仿宋" w:hAnsi="仿宋" w:eastAsia="仿宋" w:cs="仿宋"/>
                      <w:color w:val="000000" w:themeColor="text1"/>
                      <w:lang w:eastAsia="zh-CN"/>
                      <w14:textFill>
                        <w14:solidFill>
                          <w14:schemeClr w14:val="tx1"/>
                        </w14:solidFill>
                      </w14:textFill>
                    </w:rPr>
                    <w:t>3#、</w:t>
                  </w:r>
                  <w:r>
                    <w:rPr>
                      <w:rFonts w:hint="eastAsia" w:ascii="仿宋" w:hAnsi="仿宋" w:eastAsia="仿宋" w:cs="仿宋"/>
                      <w:color w:val="000000" w:themeColor="text1"/>
                      <w:lang w:val="en-US" w:eastAsia="zh-CN"/>
                      <w14:textFill>
                        <w14:solidFill>
                          <w14:schemeClr w14:val="tx1"/>
                        </w14:solidFill>
                      </w14:textFill>
                    </w:rPr>
                    <w:t>WTG4</w:t>
                  </w:r>
                  <w:r>
                    <w:rPr>
                      <w:rFonts w:hint="eastAsia" w:ascii="仿宋" w:hAnsi="仿宋" w:eastAsia="仿宋" w:cs="仿宋"/>
                      <w:color w:val="000000" w:themeColor="text1"/>
                      <w:lang w:eastAsia="zh-CN"/>
                      <w14:textFill>
                        <w14:solidFill>
                          <w14:schemeClr w14:val="tx1"/>
                        </w14:solidFill>
                      </w14:textFill>
                    </w:rPr>
                    <w:t>#风机机位，经过现有泥结石道路连接至各个工作面，综合运距按照5km考虑。</w:t>
                  </w:r>
                </w:p>
              </w:tc>
              <w:tc>
                <w:tcPr>
                  <w:tcW w:w="502" w:type="pct"/>
                  <w:vMerge w:val="continue"/>
                  <w:noWrap w:val="0"/>
                  <w:vAlign w:val="center"/>
                </w:tcPr>
                <w:p>
                  <w:pPr>
                    <w:pStyle w:val="58"/>
                    <w:bidi w:val="0"/>
                    <w:jc w:val="both"/>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弃渣场</w:t>
                  </w:r>
                </w:p>
              </w:tc>
              <w:tc>
                <w:tcPr>
                  <w:tcW w:w="3352" w:type="pct"/>
                  <w:gridSpan w:val="2"/>
                  <w:noWrap w:val="0"/>
                  <w:vAlign w:val="center"/>
                </w:tcPr>
                <w:p>
                  <w:pPr>
                    <w:pStyle w:val="58"/>
                    <w:bidi w:val="0"/>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zh-CN" w:eastAsia="zh-CN"/>
                      <w14:textFill>
                        <w14:solidFill>
                          <w14:schemeClr w14:val="tx1"/>
                        </w14:solidFill>
                      </w14:textFill>
                    </w:rPr>
                    <w:t>根据弃渣情况，本项目</w:t>
                  </w:r>
                  <w:r>
                    <w:rPr>
                      <w:rFonts w:hint="eastAsia" w:ascii="仿宋" w:hAnsi="仿宋" w:eastAsia="仿宋" w:cs="仿宋"/>
                      <w:color w:val="000000" w:themeColor="text1"/>
                      <w:lang w:eastAsia="zh-CN"/>
                      <w14:textFill>
                        <w14:solidFill>
                          <w14:schemeClr w14:val="tx1"/>
                        </w14:solidFill>
                      </w14:textFill>
                    </w:rPr>
                    <w:t>拟设置</w:t>
                  </w:r>
                  <w:r>
                    <w:rPr>
                      <w:rFonts w:hint="eastAsia" w:ascii="仿宋" w:hAnsi="仿宋" w:eastAsia="仿宋" w:cs="仿宋"/>
                      <w:color w:val="000000" w:themeColor="text1"/>
                      <w:lang w:val="en-US" w:eastAsia="zh-CN"/>
                      <w14:textFill>
                        <w14:solidFill>
                          <w14:schemeClr w14:val="tx1"/>
                        </w14:solidFill>
                      </w14:textFill>
                    </w:rPr>
                    <w:t>1个</w:t>
                  </w:r>
                  <w:r>
                    <w:rPr>
                      <w:rFonts w:hint="eastAsia" w:ascii="仿宋" w:hAnsi="仿宋" w:eastAsia="仿宋" w:cs="仿宋"/>
                      <w:color w:val="000000" w:themeColor="text1"/>
                      <w:lang w:eastAsia="zh-CN"/>
                      <w14:textFill>
                        <w14:solidFill>
                          <w14:schemeClr w14:val="tx1"/>
                        </w14:solidFill>
                      </w14:textFill>
                    </w:rPr>
                    <w:t>弃渣场，弃渣场地理坐标为东经100°33'18.28"，北纬25°09'06.13"，类型为沟道型，占地面积为1.42hm</w:t>
                  </w:r>
                  <w:r>
                    <w:rPr>
                      <w:rFonts w:hint="eastAsia" w:ascii="仿宋" w:hAnsi="仿宋" w:eastAsia="仿宋" w:cs="仿宋"/>
                      <w:color w:val="000000" w:themeColor="text1"/>
                      <w:vertAlign w:val="superscript"/>
                      <w:lang w:eastAsia="zh-CN"/>
                      <w14:textFill>
                        <w14:solidFill>
                          <w14:schemeClr w14:val="tx1"/>
                        </w14:solidFill>
                      </w14:textFill>
                    </w:rPr>
                    <w:t>2</w:t>
                  </w:r>
                  <w:r>
                    <w:rPr>
                      <w:rFonts w:hint="eastAsia" w:ascii="仿宋" w:hAnsi="仿宋" w:eastAsia="仿宋" w:cs="仿宋"/>
                      <w:color w:val="000000" w:themeColor="text1"/>
                      <w:lang w:eastAsia="zh-CN"/>
                      <w14:textFill>
                        <w14:solidFill>
                          <w14:schemeClr w14:val="tx1"/>
                        </w14:solidFill>
                      </w14:textFill>
                    </w:rPr>
                    <w:t>，设计容积为8.23万m</w:t>
                  </w:r>
                  <w:r>
                    <w:rPr>
                      <w:rFonts w:hint="eastAsia" w:ascii="仿宋" w:hAnsi="仿宋" w:eastAsia="仿宋" w:cs="仿宋"/>
                      <w:color w:val="000000" w:themeColor="text1"/>
                      <w:vertAlign w:val="superscript"/>
                      <w:lang w:eastAsia="zh-CN"/>
                      <w14:textFill>
                        <w14:solidFill>
                          <w14:schemeClr w14:val="tx1"/>
                        </w14:solidFill>
                      </w14:textFill>
                    </w:rPr>
                    <w:t>3</w:t>
                  </w:r>
                  <w:r>
                    <w:rPr>
                      <w:rFonts w:hint="eastAsia" w:ascii="仿宋" w:hAnsi="仿宋" w:eastAsia="仿宋" w:cs="仿宋"/>
                      <w:color w:val="000000" w:themeColor="text1"/>
                      <w:lang w:eastAsia="zh-CN"/>
                      <w14:textFill>
                        <w14:solidFill>
                          <w14:schemeClr w14:val="tx1"/>
                        </w14:solidFill>
                      </w14:textFill>
                    </w:rPr>
                    <w:t>，弃渣场施工期间共堆存弃渣1.92万m</w:t>
                  </w:r>
                  <w:r>
                    <w:rPr>
                      <w:rFonts w:hint="eastAsia" w:ascii="仿宋" w:hAnsi="仿宋" w:eastAsia="仿宋" w:cs="仿宋"/>
                      <w:color w:val="000000" w:themeColor="text1"/>
                      <w:vertAlign w:val="superscript"/>
                      <w:lang w:eastAsia="zh-CN"/>
                      <w14:textFill>
                        <w14:solidFill>
                          <w14:schemeClr w14:val="tx1"/>
                        </w14:solidFill>
                      </w14:textFill>
                    </w:rPr>
                    <w:t>3</w:t>
                  </w:r>
                  <w:r>
                    <w:rPr>
                      <w:rFonts w:hint="eastAsia" w:ascii="仿宋" w:hAnsi="仿宋" w:eastAsia="仿宋" w:cs="仿宋"/>
                      <w:color w:val="000000" w:themeColor="text1"/>
                      <w:lang w:eastAsia="zh-CN"/>
                      <w14:textFill>
                        <w14:solidFill>
                          <w14:schemeClr w14:val="tx1"/>
                        </w14:solidFill>
                      </w14:textFill>
                    </w:rPr>
                    <w:t>（松方系数1.3，折合松方2.50万m</w:t>
                  </w:r>
                  <w:r>
                    <w:rPr>
                      <w:rFonts w:hint="eastAsia" w:ascii="仿宋" w:hAnsi="仿宋" w:eastAsia="仿宋" w:cs="仿宋"/>
                      <w:color w:val="000000" w:themeColor="text1"/>
                      <w:vertAlign w:val="superscript"/>
                      <w:lang w:eastAsia="zh-CN"/>
                      <w14:textFill>
                        <w14:solidFill>
                          <w14:schemeClr w14:val="tx1"/>
                        </w14:solidFill>
                      </w14:textFill>
                    </w:rPr>
                    <w:t>3</w:t>
                  </w:r>
                  <w:r>
                    <w:rPr>
                      <w:rFonts w:hint="eastAsia" w:ascii="仿宋" w:hAnsi="仿宋" w:eastAsia="仿宋" w:cs="仿宋"/>
                      <w:color w:val="000000" w:themeColor="text1"/>
                      <w:lang w:eastAsia="zh-CN"/>
                      <w14:textFill>
                        <w14:solidFill>
                          <w14:schemeClr w14:val="tx1"/>
                        </w14:solidFill>
                      </w14:textFill>
                    </w:rPr>
                    <w:t>）。弃渣场下游无民居及基础设施，无不良地质，无限制性因素。</w:t>
                  </w:r>
                </w:p>
              </w:tc>
              <w:tc>
                <w:tcPr>
                  <w:tcW w:w="502" w:type="pct"/>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临时</w:t>
                  </w:r>
                </w:p>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设施</w:t>
                  </w:r>
                </w:p>
              </w:tc>
              <w:tc>
                <w:tcPr>
                  <w:tcW w:w="3352" w:type="pct"/>
                  <w:gridSpan w:val="2"/>
                  <w:noWrap w:val="0"/>
                  <w:vAlign w:val="center"/>
                </w:tcPr>
                <w:p>
                  <w:pPr>
                    <w:pStyle w:val="58"/>
                    <w:bidi w:val="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风电场施工现场主要设置：风电机组安装平台，现场办公室，临时生产区，设备临时存放场地，材料仓库等。</w:t>
                  </w:r>
                </w:p>
                <w:p>
                  <w:pPr>
                    <w:pStyle w:val="58"/>
                    <w:bidi w:val="0"/>
                    <w:jc w:val="both"/>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根据施工需要，在每个风机点位附近布置1个临时生产区，用于布置综合加工厂、临时材料堆放等，房建面积150㎡，占地面积400㎡；在开关站位置附近布置1个临时生产区，用于布置综合加工厂、临时材料堆放等，房建面积300㎡，占地面积800㎡；另外考虑800㎡的材料仓库，租用场址区附近民房。本工程总计临时房建面积900㎡（新建），占地面积2400㎡，材料仓库800㎡（租用民房）。</w:t>
                  </w:r>
                </w:p>
              </w:tc>
              <w:tc>
                <w:tcPr>
                  <w:tcW w:w="502" w:type="pct"/>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（临时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依托</w:t>
                  </w:r>
                </w:p>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工程</w:t>
                  </w:r>
                </w:p>
              </w:tc>
              <w:tc>
                <w:tcPr>
                  <w:tcW w:w="683" w:type="pct"/>
                  <w:gridSpan w:val="2"/>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道路</w:t>
                  </w:r>
                </w:p>
              </w:tc>
              <w:tc>
                <w:tcPr>
                  <w:tcW w:w="3352" w:type="pct"/>
                  <w:gridSpan w:val="2"/>
                  <w:noWrap w:val="0"/>
                  <w:vAlign w:val="center"/>
                </w:tcPr>
                <w:p>
                  <w:pPr>
                    <w:pStyle w:val="58"/>
                    <w:bidi w:val="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场外主干道路依托国道G214、县道苴密线等现有道路，无需新建主干线路。部分道路电力、通信架空线高度不够需要改建外，现有的道路基本能够满足本工程设备的运输要求。</w:t>
                  </w:r>
                </w:p>
              </w:tc>
              <w:tc>
                <w:tcPr>
                  <w:tcW w:w="502" w:type="pct"/>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trPr>
              <w:tc>
                <w:tcPr>
                  <w:tcW w:w="450" w:type="pct"/>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公用</w:t>
                  </w:r>
                </w:p>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工程</w:t>
                  </w:r>
                </w:p>
              </w:tc>
              <w:tc>
                <w:tcPr>
                  <w:tcW w:w="68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供水</w:t>
                  </w:r>
                </w:p>
              </w:tc>
              <w:tc>
                <w:tcPr>
                  <w:tcW w:w="3352" w:type="pct"/>
                  <w:gridSpan w:val="2"/>
                  <w:noWrap w:val="0"/>
                  <w:vAlign w:val="center"/>
                </w:tcPr>
                <w:p>
                  <w:pPr>
                    <w:pStyle w:val="58"/>
                    <w:bidi w:val="0"/>
                    <w:jc w:val="both"/>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z w:val="21"/>
                      <w:szCs w:val="21"/>
                      <w:vertAlign w:val="baseline"/>
                      <w:lang w:val="en-US" w:eastAsia="zh-CN"/>
                      <w14:textFill>
                        <w14:solidFill>
                          <w14:schemeClr w14:val="tx1"/>
                        </w14:solidFill>
                      </w14:textFill>
                    </w:rPr>
                    <w:t>本项目生产生活用水拟使用项目区内及其附近的</w:t>
                  </w:r>
                  <w:r>
                    <w:rPr>
                      <w:rFonts w:hint="eastAsia" w:ascii="仿宋" w:hAnsi="仿宋" w:eastAsia="仿宋" w:cs="仿宋"/>
                      <w:color w:val="000000" w:themeColor="text1"/>
                      <w:lang w:eastAsia="zh-CN"/>
                      <w14:textFill>
                        <w14:solidFill>
                          <w14:schemeClr w14:val="tx1"/>
                        </w14:solidFill>
                      </w14:textFill>
                    </w:rPr>
                    <w:t>星峰水库水源。</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排水</w:t>
                  </w:r>
                </w:p>
              </w:tc>
              <w:tc>
                <w:tcPr>
                  <w:tcW w:w="3352" w:type="pct"/>
                  <w:gridSpan w:val="2"/>
                  <w:noWrap w:val="0"/>
                  <w:vAlign w:val="center"/>
                </w:tcPr>
                <w:p>
                  <w:pPr>
                    <w:pStyle w:val="58"/>
                    <w:bidi w:val="0"/>
                    <w:jc w:val="both"/>
                    <w:rPr>
                      <w:rFonts w:hint="eastAsia" w:ascii="仿宋" w:hAnsi="仿宋" w:eastAsia="仿宋" w:cs="仿宋"/>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vertAlign w:val="baseline"/>
                      <w:lang w:val="en-US" w:eastAsia="zh-CN"/>
                      <w14:textFill>
                        <w14:solidFill>
                          <w14:schemeClr w14:val="tx1"/>
                        </w14:solidFill>
                      </w14:textFill>
                    </w:rPr>
                    <w:t>开关站排水系统采用雨污分流制排水系统。开关站内雨水直接外排至站外；生活污水统一收集至化粪池，经化粪池初步处理后，由一体化污水处理设备处理达标后外排。</w:t>
                  </w:r>
                </w:p>
                <w:p>
                  <w:pPr>
                    <w:pStyle w:val="58"/>
                    <w:bidi w:val="0"/>
                    <w:jc w:val="both"/>
                    <w:rPr>
                      <w:rFonts w:hint="eastAsia" w:ascii="仿宋" w:hAnsi="仿宋" w:eastAsia="仿宋" w:cs="仿宋"/>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vertAlign w:val="baseline"/>
                      <w:lang w:val="en-US" w:eastAsia="zh-CN"/>
                      <w14:textFill>
                        <w14:solidFill>
                          <w14:schemeClr w14:val="tx1"/>
                        </w14:solidFill>
                      </w14:textFill>
                    </w:rPr>
                    <w:t>开关站内建筑物四周设散水和排水沟，与场地排水沟结合，雨水经场地排水沟汇集后排入站外道路排水沟。</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131" w:hRule="atLeas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供电</w:t>
                  </w:r>
                </w:p>
              </w:tc>
              <w:tc>
                <w:tcPr>
                  <w:tcW w:w="3352" w:type="pct"/>
                  <w:gridSpan w:val="2"/>
                  <w:noWrap w:val="0"/>
                  <w:vAlign w:val="center"/>
                </w:tcPr>
                <w:p>
                  <w:pPr>
                    <w:pStyle w:val="58"/>
                    <w:bidi w:val="0"/>
                    <w:jc w:val="both"/>
                    <w:rPr>
                      <w:rFonts w:hint="eastAsia" w:ascii="仿宋" w:hAnsi="仿宋" w:eastAsia="仿宋" w:cs="仿宋"/>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vertAlign w:val="baseline"/>
                      <w:lang w:val="en-US" w:eastAsia="zh-CN"/>
                      <w14:textFill>
                        <w14:solidFill>
                          <w14:schemeClr w14:val="tx1"/>
                        </w14:solidFill>
                      </w14:textFill>
                    </w:rPr>
                    <w:t>施工期用电考虑从附近村庄架设10kV线路接线。施工期在每个风机场址布置1台80kW移动式柴油发电机作为施工用电电源，总计4台以供停电和施工场地施工时使用。</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822" w:hRule="atLeas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3352" w:type="pct"/>
                  <w:gridSpan w:val="2"/>
                  <w:noWrap w:val="0"/>
                  <w:vAlign w:val="center"/>
                </w:tcPr>
                <w:p>
                  <w:pPr>
                    <w:pStyle w:val="58"/>
                    <w:bidi w:val="0"/>
                    <w:jc w:val="both"/>
                    <w:rPr>
                      <w:rFonts w:hint="eastAsia" w:ascii="仿宋" w:hAnsi="仿宋" w:eastAsia="仿宋" w:cs="仿宋"/>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vertAlign w:val="baseline"/>
                      <w:lang w:val="en-US" w:eastAsia="zh-CN"/>
                      <w14:textFill>
                        <w14:solidFill>
                          <w14:schemeClr w14:val="tx1"/>
                        </w14:solidFill>
                      </w14:textFill>
                    </w:rPr>
                    <w:t>运营期在开关站位置布置1台200kVA变压器，前期作为开关站施工用电电源，后期作为开关站备用电源。</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环保工程</w:t>
                  </w:r>
                </w:p>
              </w:tc>
              <w:tc>
                <w:tcPr>
                  <w:tcW w:w="294" w:type="pct"/>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废水</w:t>
                  </w:r>
                </w:p>
              </w:tc>
              <w:tc>
                <w:tcPr>
                  <w:tcW w:w="3741" w:type="pct"/>
                  <w:gridSpan w:val="3"/>
                  <w:noWrap w:val="0"/>
                  <w:vAlign w:val="center"/>
                </w:tcPr>
                <w:p>
                  <w:pPr>
                    <w:pStyle w:val="58"/>
                    <w:bidi w:val="0"/>
                    <w:jc w:val="both"/>
                    <w:rPr>
                      <w:rFonts w:hint="eastAsia" w:ascii="仿宋" w:hAnsi="仿宋" w:eastAsia="仿宋" w:cs="仿宋"/>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vertAlign w:val="baseline"/>
                      <w:lang w:val="en-US" w:eastAsia="zh-CN"/>
                      <w14:textFill>
                        <w14:solidFill>
                          <w14:schemeClr w14:val="tx1"/>
                        </w14:solidFill>
                      </w14:textFill>
                    </w:rPr>
                    <w:t>施工期：施工期生产生活区厕所为防渗旱厕，生活污水可就地泼洒地面抑尘或绿化，不外排；生产废水设沉淀池沉淀后循环使用。运营期：生活污水排入化粪池沉淀后，经污水一体化设施处理后排入中水池，作为厂区绿化和道路喷洒用水，废水不外排。</w:t>
                  </w:r>
                </w:p>
                <w:p>
                  <w:pPr>
                    <w:pStyle w:val="58"/>
                    <w:bidi w:val="0"/>
                    <w:jc w:val="both"/>
                    <w:rPr>
                      <w:rFonts w:hint="eastAsia" w:ascii="仿宋" w:hAnsi="仿宋" w:eastAsia="仿宋" w:cs="仿宋"/>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vertAlign w:val="baseline"/>
                      <w:lang w:val="en-US" w:eastAsia="zh-CN"/>
                      <w14:textFill>
                        <w14:solidFill>
                          <w14:schemeClr w14:val="tx1"/>
                        </w14:solidFill>
                      </w14:textFill>
                    </w:rPr>
                    <w:t>开关站设置1座有效容积为1m</w:t>
                  </w:r>
                  <w:r>
                    <w:rPr>
                      <w:rFonts w:hint="eastAsia" w:ascii="仿宋" w:hAnsi="仿宋" w:eastAsia="仿宋" w:cs="仿宋"/>
                      <w:color w:val="000000" w:themeColor="text1"/>
                      <w:sz w:val="21"/>
                      <w:szCs w:val="21"/>
                      <w:vertAlign w:val="superscript"/>
                      <w:lang w:val="en-US" w:eastAsia="zh-CN"/>
                      <w14:textFill>
                        <w14:solidFill>
                          <w14:schemeClr w14:val="tx1"/>
                        </w14:solidFill>
                      </w14:textFill>
                    </w:rPr>
                    <w:t>3</w:t>
                  </w:r>
                  <w:r>
                    <w:rPr>
                      <w:rFonts w:hint="eastAsia" w:ascii="仿宋" w:hAnsi="仿宋" w:eastAsia="仿宋" w:cs="仿宋"/>
                      <w:color w:val="000000" w:themeColor="text1"/>
                      <w:sz w:val="21"/>
                      <w:szCs w:val="21"/>
                      <w:vertAlign w:val="baseline"/>
                      <w:lang w:val="en-US" w:eastAsia="zh-CN"/>
                      <w14:textFill>
                        <w14:solidFill>
                          <w14:schemeClr w14:val="tx1"/>
                        </w14:solidFill>
                      </w14:textFill>
                    </w:rPr>
                    <w:t>的隔油池，用于预处理食堂废水。</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389"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化粪池</w:t>
                  </w:r>
                </w:p>
              </w:tc>
              <w:tc>
                <w:tcPr>
                  <w:tcW w:w="3352"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开关</w:t>
                  </w:r>
                  <w:r>
                    <w:rPr>
                      <w:rFonts w:hint="eastAsia" w:ascii="仿宋" w:hAnsi="仿宋" w:eastAsia="仿宋" w:cs="仿宋"/>
                      <w:color w:val="000000" w:themeColor="text1"/>
                      <w14:textFill>
                        <w14:solidFill>
                          <w14:schemeClr w14:val="tx1"/>
                        </w14:solidFill>
                      </w14:textFill>
                    </w:rPr>
                    <w:t>站设置1座有效容积为</w:t>
                  </w: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m</w:t>
                  </w:r>
                  <w:r>
                    <w:rPr>
                      <w:rFonts w:hint="eastAsia" w:ascii="仿宋" w:hAnsi="仿宋" w:eastAsia="仿宋" w:cs="仿宋"/>
                      <w:color w:val="000000" w:themeColor="text1"/>
                      <w:vertAlign w:val="superscript"/>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的化粪池，用于收集处理食堂废水及其余生活污水。</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71"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一体化污水处理设备</w:t>
                  </w:r>
                </w:p>
              </w:tc>
              <w:tc>
                <w:tcPr>
                  <w:tcW w:w="3069" w:type="pct"/>
                  <w:noWrap w:val="0"/>
                  <w:vAlign w:val="center"/>
                </w:tcPr>
                <w:p>
                  <w:pPr>
                    <w:pStyle w:val="58"/>
                    <w:bidi w:val="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开关</w:t>
                  </w:r>
                  <w:r>
                    <w:rPr>
                      <w:rFonts w:hint="eastAsia" w:ascii="仿宋" w:hAnsi="仿宋" w:eastAsia="仿宋" w:cs="仿宋"/>
                      <w:color w:val="000000" w:themeColor="text1"/>
                      <w14:textFill>
                        <w14:solidFill>
                          <w14:schemeClr w14:val="tx1"/>
                        </w14:solidFill>
                      </w14:textFill>
                    </w:rPr>
                    <w:t>站设置1座处理规模为</w:t>
                  </w: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m</w:t>
                  </w:r>
                  <w:r>
                    <w:rPr>
                      <w:rFonts w:hint="eastAsia" w:ascii="仿宋" w:hAnsi="仿宋" w:eastAsia="仿宋" w:cs="仿宋"/>
                      <w:color w:val="000000" w:themeColor="text1"/>
                      <w:vertAlign w:val="superscript"/>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/d的一体化污水处理</w:t>
                  </w:r>
                  <w:r>
                    <w:rPr>
                      <w:rFonts w:hint="eastAsia" w:ascii="仿宋" w:hAnsi="仿宋" w:eastAsia="仿宋" w:cs="仿宋"/>
                      <w:color w:val="000000" w:themeColor="text1"/>
                      <w:lang w:val="en-US" w:eastAsia="zh-CN"/>
                      <w14:textFill>
                        <w14:solidFill>
                          <w14:schemeClr w14:val="tx1"/>
                        </w14:solidFill>
                      </w14:textFill>
                    </w:rPr>
                    <w:t>设备（接触氧化+MBR工艺）</w:t>
                  </w:r>
                  <w:r>
                    <w:rPr>
                      <w:rFonts w:hint="eastAsia" w:ascii="仿宋" w:hAnsi="仿宋" w:eastAsia="仿宋" w:cs="仿宋"/>
                      <w:color w:val="000000" w:themeColor="text1"/>
                      <w14:textFill>
                        <w14:solidFill>
                          <w14:schemeClr w14:val="tx1"/>
                        </w14:solidFill>
                      </w14:textFill>
                    </w:rPr>
                    <w:t>。</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废气</w:t>
                  </w:r>
                </w:p>
              </w:tc>
              <w:tc>
                <w:tcPr>
                  <w:tcW w:w="3741" w:type="pct"/>
                  <w:gridSpan w:val="3"/>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本项目无生产废气产生</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vMerge w:val="restar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固体废物</w:t>
                  </w:r>
                </w:p>
              </w:tc>
              <w:tc>
                <w:tcPr>
                  <w:tcW w:w="671"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生活垃圾</w:t>
                  </w:r>
                </w:p>
              </w:tc>
              <w:tc>
                <w:tcPr>
                  <w:tcW w:w="3069"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开关</w:t>
                  </w:r>
                  <w:r>
                    <w:rPr>
                      <w:rFonts w:hint="eastAsia" w:ascii="仿宋" w:hAnsi="仿宋" w:eastAsia="仿宋" w:cs="仿宋"/>
                      <w:color w:val="000000" w:themeColor="text1"/>
                      <w14:textFill>
                        <w14:solidFill>
                          <w14:schemeClr w14:val="tx1"/>
                        </w14:solidFill>
                      </w14:textFill>
                    </w:rPr>
                    <w:t>站内</w:t>
                  </w:r>
                  <w:r>
                    <w:rPr>
                      <w:rFonts w:hint="eastAsia" w:ascii="仿宋" w:hAnsi="仿宋" w:eastAsia="仿宋" w:cs="仿宋"/>
                      <w:color w:val="000000" w:themeColor="text1"/>
                      <w:sz w:val="21"/>
                      <w:szCs w:val="21"/>
                      <w:vertAlign w:val="baseline"/>
                      <w:lang w:val="en-US" w:eastAsia="zh-CN"/>
                      <w14:textFill>
                        <w14:solidFill>
                          <w14:schemeClr w14:val="tx1"/>
                        </w14:solidFill>
                      </w14:textFill>
                    </w:rPr>
                    <w:t>设置生活垃圾收集桶</w:t>
                  </w:r>
                  <w:r>
                    <w:rPr>
                      <w:rFonts w:hint="eastAsia" w:ascii="仿宋" w:hAnsi="仿宋" w:eastAsia="仿宋" w:cs="仿宋"/>
                      <w:color w:val="000000" w:themeColor="text1"/>
                      <w14:textFill>
                        <w14:solidFill>
                          <w14:schemeClr w14:val="tx1"/>
                        </w14:solidFill>
                      </w14:textFill>
                    </w:rPr>
                    <w:t>，用于收集</w:t>
                  </w:r>
                  <w:r>
                    <w:rPr>
                      <w:rFonts w:hint="eastAsia" w:ascii="仿宋" w:hAnsi="仿宋" w:eastAsia="仿宋" w:cs="仿宋"/>
                      <w:color w:val="000000" w:themeColor="text1"/>
                      <w:lang w:val="en-US" w:eastAsia="zh-CN"/>
                      <w14:textFill>
                        <w14:solidFill>
                          <w14:schemeClr w14:val="tx1"/>
                        </w14:solidFill>
                      </w14:textFill>
                    </w:rPr>
                    <w:t>开关</w:t>
                  </w:r>
                  <w:r>
                    <w:rPr>
                      <w:rFonts w:hint="eastAsia" w:ascii="仿宋" w:hAnsi="仿宋" w:eastAsia="仿宋" w:cs="仿宋"/>
                      <w:color w:val="000000" w:themeColor="text1"/>
                      <w14:textFill>
                        <w14:solidFill>
                          <w14:schemeClr w14:val="tx1"/>
                        </w14:solidFill>
                      </w14:textFill>
                    </w:rPr>
                    <w:t>站运营产生的生活垃圾。</w:t>
                  </w:r>
                  <w:r>
                    <w:rPr>
                      <w:rFonts w:hint="eastAsia" w:ascii="仿宋" w:hAnsi="仿宋" w:eastAsia="仿宋" w:cs="仿宋"/>
                      <w:color w:val="000000" w:themeColor="text1"/>
                      <w:sz w:val="21"/>
                      <w:szCs w:val="21"/>
                      <w:vertAlign w:val="baseline"/>
                      <w:lang w:val="en-US" w:eastAsia="zh-CN"/>
                      <w14:textFill>
                        <w14:solidFill>
                          <w14:schemeClr w14:val="tx1"/>
                        </w14:solidFill>
                      </w14:textFill>
                    </w:rPr>
                    <w:t>生活垃圾经收集后送到周边村庄垃圾集中收集点，按环卫要求进行合理处置。</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71" w:type="pct"/>
                  <w:gridSpan w:val="2"/>
                  <w:noWrap w:val="0"/>
                  <w:vAlign w:val="center"/>
                </w:tcPr>
                <w:p>
                  <w:pPr>
                    <w:pStyle w:val="58"/>
                    <w:bidi w:val="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一般固体</w:t>
                  </w:r>
                </w:p>
                <w:p>
                  <w:pPr>
                    <w:pStyle w:val="58"/>
                    <w:bidi w:val="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废物</w:t>
                  </w:r>
                </w:p>
              </w:tc>
              <w:tc>
                <w:tcPr>
                  <w:tcW w:w="3069" w:type="pct"/>
                  <w:noWrap w:val="0"/>
                  <w:vAlign w:val="center"/>
                </w:tcPr>
                <w:p>
                  <w:pPr>
                    <w:pStyle w:val="58"/>
                    <w:bidi w:val="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严格按照施工弃渣处理要求处理好弃渣，及时运至渣场指定位置摊铺、碾压，对边坡进行修整，堆渣结束后进行覆土和植被恢复</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71"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主变事故油池、集油池</w:t>
                  </w:r>
                </w:p>
              </w:tc>
              <w:tc>
                <w:tcPr>
                  <w:tcW w:w="3069"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开关</w:t>
                  </w:r>
                  <w:r>
                    <w:rPr>
                      <w:rFonts w:hint="eastAsia" w:ascii="仿宋" w:hAnsi="仿宋" w:eastAsia="仿宋" w:cs="仿宋"/>
                      <w:color w:val="000000" w:themeColor="text1"/>
                      <w14:textFill>
                        <w14:solidFill>
                          <w14:schemeClr w14:val="tx1"/>
                        </w14:solidFill>
                      </w14:textFill>
                    </w:rPr>
                    <w:t>站主变旁设置1座有效容积</w:t>
                  </w:r>
                  <w:r>
                    <w:rPr>
                      <w:rFonts w:hint="eastAsia" w:ascii="仿宋" w:hAnsi="仿宋" w:eastAsia="仿宋" w:cs="仿宋"/>
                      <w:color w:val="000000" w:themeColor="text1"/>
                      <w:lang w:val="en-US" w:eastAsia="zh-CN"/>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t>m</w:t>
                  </w:r>
                  <w:r>
                    <w:rPr>
                      <w:rFonts w:hint="eastAsia" w:ascii="仿宋" w:hAnsi="仿宋" w:eastAsia="仿宋" w:cs="仿宋"/>
                      <w:color w:val="000000" w:themeColor="text1"/>
                      <w:vertAlign w:val="superscript"/>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事故油池，主变靠事故油池一侧</w:t>
                  </w:r>
                  <w:r>
                    <w:rPr>
                      <w:rFonts w:hint="eastAsia" w:ascii="仿宋" w:hAnsi="仿宋" w:eastAsia="仿宋" w:cs="仿宋"/>
                      <w:color w:val="000000" w:themeColor="text1"/>
                      <w:lang w:val="en-US" w:eastAsia="zh-CN"/>
                      <w14:textFill>
                        <w14:solidFill>
                          <w14:schemeClr w14:val="tx1"/>
                        </w14:solidFill>
                      </w14:textFill>
                    </w:rPr>
                    <w:t>设置</w:t>
                  </w:r>
                  <w:r>
                    <w:rPr>
                      <w:rFonts w:hint="eastAsia" w:ascii="仿宋" w:hAnsi="仿宋" w:eastAsia="仿宋" w:cs="仿宋"/>
                      <w:color w:val="000000" w:themeColor="text1"/>
                      <w14:textFill>
                        <w14:solidFill>
                          <w14:schemeClr w14:val="tx1"/>
                        </w14:solidFill>
                      </w14:textFill>
                    </w:rPr>
                    <w:t>一座容积</w:t>
                  </w: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w:t>
                  </w:r>
                  <w:r>
                    <w:rPr>
                      <w:rFonts w:hint="eastAsia" w:ascii="仿宋" w:hAnsi="仿宋" w:eastAsia="仿宋" w:cs="仿宋"/>
                      <w:color w:val="000000" w:themeColor="text1"/>
                      <w:vertAlign w:val="superscript"/>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集油池，用于收集主变事故排放的废变压器油，集油池内接钢管通向事故油池。集油池、事故油池做重点防渗，基础防渗层至少1m厚黏土层，防渗系数≤10</w:t>
                  </w:r>
                  <w:r>
                    <w:rPr>
                      <w:rFonts w:hint="eastAsia" w:ascii="仿宋" w:hAnsi="仿宋" w:eastAsia="仿宋" w:cs="仿宋"/>
                      <w:color w:val="000000" w:themeColor="text1"/>
                      <w:vertAlign w:val="superscript"/>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cm/s，人工防渗层材料厚度不小于2mm，防渗系数≤10</w:t>
                  </w:r>
                  <w:r>
                    <w:rPr>
                      <w:rFonts w:hint="eastAsia" w:ascii="仿宋" w:hAnsi="仿宋" w:eastAsia="仿宋" w:cs="仿宋"/>
                      <w:color w:val="000000" w:themeColor="text1"/>
                      <w:vertAlign w:val="superscript"/>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t>cm/s。</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71"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箱变集油池</w:t>
                  </w:r>
                </w:p>
              </w:tc>
              <w:tc>
                <w:tcPr>
                  <w:tcW w:w="3069"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每座箱变配备一座集油池，用于收集箱变事故排放的废变压器油，共4座。</w:t>
                  </w:r>
                  <w:r>
                    <w:rPr>
                      <w:rFonts w:hint="eastAsia" w:ascii="仿宋" w:hAnsi="仿宋" w:eastAsia="仿宋" w:cs="仿宋"/>
                      <w:color w:val="000000" w:themeColor="text1"/>
                      <w:lang w:val="en-US" w:eastAsia="zh-CN"/>
                      <w14:textFill>
                        <w14:solidFill>
                          <w14:schemeClr w14:val="tx1"/>
                        </w14:solidFill>
                      </w14:textFill>
                    </w:rPr>
                    <w:t>每座</w:t>
                  </w:r>
                  <w:r>
                    <w:rPr>
                      <w:rFonts w:hint="eastAsia" w:ascii="仿宋" w:hAnsi="仿宋" w:eastAsia="仿宋" w:cs="仿宋"/>
                      <w:color w:val="000000" w:themeColor="text1"/>
                      <w14:textFill>
                        <w14:solidFill>
                          <w14:schemeClr w14:val="tx1"/>
                        </w14:solidFill>
                      </w14:textFill>
                    </w:rPr>
                    <w:t>箱变集油池的容积</w:t>
                  </w: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w:t>
                  </w:r>
                  <w:r>
                    <w:rPr>
                      <w:rFonts w:hint="eastAsia" w:ascii="仿宋" w:hAnsi="仿宋" w:eastAsia="仿宋" w:cs="仿宋"/>
                      <w:color w:val="000000" w:themeColor="text1"/>
                      <w:vertAlign w:val="superscript"/>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。集油池做重点防渗，基础防渗层至少1m厚黏土层，防渗系数≤10</w:t>
                  </w:r>
                  <w:r>
                    <w:rPr>
                      <w:rFonts w:hint="eastAsia" w:ascii="仿宋" w:hAnsi="仿宋" w:eastAsia="仿宋" w:cs="仿宋"/>
                      <w:color w:val="000000" w:themeColor="text1"/>
                      <w:vertAlign w:val="superscript"/>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cm/s，人工防渗层材料厚度不小于2mm，防渗系数≤10</w:t>
                  </w:r>
                  <w:r>
                    <w:rPr>
                      <w:rFonts w:hint="eastAsia" w:ascii="仿宋" w:hAnsi="仿宋" w:eastAsia="仿宋" w:cs="仿宋"/>
                      <w:color w:val="000000" w:themeColor="text1"/>
                      <w:vertAlign w:val="superscript"/>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t>cm/s。</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294"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389" w:type="pct"/>
                  <w:noWrap w:val="0"/>
                  <w:vAlign w:val="center"/>
                </w:tcPr>
                <w:p>
                  <w:pPr>
                    <w:pStyle w:val="58"/>
                    <w:bidi w:val="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eastAsia="zh-CN"/>
                      <w14:textFill>
                        <w14:solidFill>
                          <w14:schemeClr w14:val="tx1"/>
                        </w14:solidFill>
                      </w14:textFill>
                    </w:rPr>
                    <w:t>危险废物暂存间</w:t>
                  </w:r>
                </w:p>
              </w:tc>
              <w:tc>
                <w:tcPr>
                  <w:tcW w:w="3352"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开关</w:t>
                  </w:r>
                  <w:r>
                    <w:rPr>
                      <w:rFonts w:hint="eastAsia" w:ascii="仿宋" w:hAnsi="仿宋" w:eastAsia="仿宋" w:cs="仿宋"/>
                      <w:color w:val="000000" w:themeColor="text1"/>
                      <w14:textFill>
                        <w14:solidFill>
                          <w14:schemeClr w14:val="tx1"/>
                        </w14:solidFill>
                      </w14:textFill>
                    </w:rPr>
                    <w:t>站内设置1间10m</w:t>
                  </w:r>
                  <w:r>
                    <w:rPr>
                      <w:rFonts w:hint="eastAsia" w:ascii="仿宋" w:hAnsi="仿宋" w:eastAsia="仿宋" w:cs="仿宋"/>
                      <w:color w:val="000000" w:themeColor="text1"/>
                      <w:vertAlign w:val="superscript"/>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的</w:t>
                  </w:r>
                  <w:r>
                    <w:rPr>
                      <w:rFonts w:hint="eastAsia" w:ascii="仿宋" w:hAnsi="仿宋" w:eastAsia="仿宋" w:cs="仿宋"/>
                      <w:color w:val="000000" w:themeColor="text1"/>
                      <w:lang w:eastAsia="zh-CN"/>
                      <w14:textFill>
                        <w14:solidFill>
                          <w14:schemeClr w14:val="tx1"/>
                        </w14:solidFill>
                      </w14:textFill>
                    </w:rPr>
                    <w:t>危险废物暂存间</w:t>
                  </w:r>
                  <w:r>
                    <w:rPr>
                      <w:rFonts w:hint="eastAsia" w:ascii="仿宋" w:hAnsi="仿宋" w:eastAsia="仿宋" w:cs="仿宋"/>
                      <w:color w:val="000000" w:themeColor="text1"/>
                      <w14:textFill>
                        <w14:solidFill>
                          <w14:schemeClr w14:val="tx1"/>
                        </w14:solidFill>
                      </w14:textFill>
                    </w:rPr>
                    <w:t>，用于暂存项目运营产生的废矿物油、废变压器油、含油沾染物等危险废物，定期委托有资质的单位进行清运及处置。</w:t>
                  </w:r>
                  <w:r>
                    <w:rPr>
                      <w:rFonts w:hint="eastAsia" w:ascii="仿宋" w:hAnsi="仿宋" w:eastAsia="仿宋" w:cs="仿宋"/>
                      <w:color w:val="000000" w:themeColor="text1"/>
                      <w:lang w:eastAsia="zh-CN"/>
                      <w14:textFill>
                        <w14:solidFill>
                          <w14:schemeClr w14:val="tx1"/>
                        </w14:solidFill>
                      </w14:textFill>
                    </w:rPr>
                    <w:t>危险废物暂存间</w:t>
                  </w:r>
                  <w:r>
                    <w:rPr>
                      <w:rFonts w:hint="eastAsia" w:ascii="仿宋" w:hAnsi="仿宋" w:eastAsia="仿宋" w:cs="仿宋"/>
                      <w:color w:val="000000" w:themeColor="text1"/>
                      <w14:textFill>
                        <w14:solidFill>
                          <w14:schemeClr w14:val="tx1"/>
                        </w14:solidFill>
                      </w14:textFill>
                    </w:rPr>
                    <w:t>内各类危险废物分类收集暂存，做重点防渗，基础防渗层至少1m厚黏土层，防渗系数≤10</w:t>
                  </w:r>
                  <w:r>
                    <w:rPr>
                      <w:rFonts w:hint="eastAsia" w:ascii="仿宋" w:hAnsi="仿宋" w:eastAsia="仿宋" w:cs="仿宋"/>
                      <w:color w:val="000000" w:themeColor="text1"/>
                      <w:vertAlign w:val="superscript"/>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t>cm/s，人工防渗层材料厚度不小于2mm，防渗系数≤10</w:t>
                  </w:r>
                  <w:r>
                    <w:rPr>
                      <w:rFonts w:hint="eastAsia" w:ascii="仿宋" w:hAnsi="仿宋" w:eastAsia="仿宋" w:cs="仿宋"/>
                      <w:color w:val="000000" w:themeColor="text1"/>
                      <w:vertAlign w:val="superscript"/>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t>cm/s。</w:t>
                  </w:r>
                </w:p>
              </w:tc>
              <w:tc>
                <w:tcPr>
                  <w:tcW w:w="51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vMerge w:val="continue"/>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绿化工程</w:t>
                  </w:r>
                </w:p>
              </w:tc>
              <w:tc>
                <w:tcPr>
                  <w:tcW w:w="3352"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结合水土保持措施采取植物措施，</w:t>
                  </w:r>
                  <w:r>
                    <w:rPr>
                      <w:rFonts w:hint="eastAsia" w:ascii="仿宋" w:hAnsi="仿宋" w:eastAsia="仿宋" w:cs="仿宋"/>
                      <w:color w:val="000000" w:themeColor="text1"/>
                      <w:lang w:val="en-US" w:eastAsia="zh-CN"/>
                      <w14:textFill>
                        <w14:solidFill>
                          <w14:schemeClr w14:val="tx1"/>
                        </w14:solidFill>
                      </w14:textFill>
                    </w:rPr>
                    <w:t>开关</w:t>
                  </w:r>
                  <w:r>
                    <w:rPr>
                      <w:rFonts w:hint="eastAsia" w:ascii="仿宋" w:hAnsi="仿宋" w:eastAsia="仿宋" w:cs="仿宋"/>
                      <w:color w:val="000000" w:themeColor="text1"/>
                      <w14:textFill>
                        <w14:solidFill>
                          <w14:schemeClr w14:val="tx1"/>
                        </w14:solidFill>
                      </w14:textFill>
                    </w:rPr>
                    <w:t>站区绿化</w:t>
                  </w:r>
                  <w:r>
                    <w:rPr>
                      <w:rFonts w:hint="eastAsia" w:ascii="仿宋" w:hAnsi="仿宋" w:eastAsia="仿宋" w:cs="仿宋"/>
                      <w:color w:val="000000" w:themeColor="text1"/>
                      <w:lang w:val="en-US" w:eastAsia="zh-CN"/>
                      <w14:textFill>
                        <w14:solidFill>
                          <w14:schemeClr w14:val="tx1"/>
                        </w14:solidFill>
                      </w14:textFill>
                    </w:rPr>
                    <w:t>100</w:t>
                  </w:r>
                  <w:r>
                    <w:rPr>
                      <w:rFonts w:hint="eastAsia" w:ascii="仿宋" w:hAnsi="仿宋" w:eastAsia="仿宋" w:cs="仿宋"/>
                      <w:color w:val="000000" w:themeColor="text1"/>
                      <w14:textFill>
                        <w14:solidFill>
                          <w14:schemeClr w14:val="tx1"/>
                        </w14:solidFill>
                      </w14:textFill>
                    </w:rPr>
                    <w:t>m</w:t>
                  </w:r>
                  <w:r>
                    <w:rPr>
                      <w:rFonts w:hint="eastAsia" w:ascii="仿宋" w:hAnsi="仿宋" w:eastAsia="仿宋" w:cs="仿宋"/>
                      <w:color w:val="000000" w:themeColor="text1"/>
                      <w:vertAlign w:val="superscript"/>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；道路工程区植草</w:t>
                  </w:r>
                  <w:r>
                    <w:rPr>
                      <w:rFonts w:hint="eastAsia" w:ascii="仿宋" w:hAnsi="仿宋" w:eastAsia="仿宋" w:cs="仿宋"/>
                      <w:color w:val="000000" w:themeColor="text1"/>
                      <w:lang w:val="en-US" w:eastAsia="zh-CN"/>
                      <w14:textFill>
                        <w14:solidFill>
                          <w14:schemeClr w14:val="tx1"/>
                        </w14:solidFill>
                      </w14:textFill>
                    </w:rPr>
                    <w:t>XX</w:t>
                  </w:r>
                  <w:r>
                    <w:rPr>
                      <w:rFonts w:hint="eastAsia" w:ascii="仿宋" w:hAnsi="仿宋" w:eastAsia="仿宋" w:cs="仿宋"/>
                      <w:color w:val="000000" w:themeColor="text1"/>
                      <w14:textFill>
                        <w14:solidFill>
                          <w14:schemeClr w14:val="tx1"/>
                        </w14:solidFill>
                      </w14:textFill>
                    </w:rPr>
                    <w:t>hm</w:t>
                  </w:r>
                  <w:r>
                    <w:rPr>
                      <w:rFonts w:hint="eastAsia" w:ascii="仿宋" w:hAnsi="仿宋" w:eastAsia="仿宋" w:cs="仿宋"/>
                      <w:color w:val="000000" w:themeColor="text1"/>
                      <w:vertAlign w:val="superscript"/>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；集电线路区植被恢复</w:t>
                  </w:r>
                  <w:r>
                    <w:rPr>
                      <w:rFonts w:hint="eastAsia" w:ascii="仿宋" w:hAnsi="仿宋" w:eastAsia="仿宋" w:cs="仿宋"/>
                      <w:color w:val="000000" w:themeColor="text1"/>
                      <w:lang w:val="en-US" w:eastAsia="zh-CN"/>
                      <w14:textFill>
                        <w14:solidFill>
                          <w14:schemeClr w14:val="tx1"/>
                        </w14:solidFill>
                      </w14:textFill>
                    </w:rPr>
                    <w:t>XX</w:t>
                  </w:r>
                  <w:r>
                    <w:rPr>
                      <w:rFonts w:hint="eastAsia" w:ascii="仿宋" w:hAnsi="仿宋" w:eastAsia="仿宋" w:cs="仿宋"/>
                      <w:color w:val="000000" w:themeColor="text1"/>
                      <w14:textFill>
                        <w14:solidFill>
                          <w14:schemeClr w14:val="tx1"/>
                        </w14:solidFill>
                      </w14:textFill>
                    </w:rPr>
                    <w:t>hm</w:t>
                  </w:r>
                  <w:r>
                    <w:rPr>
                      <w:rFonts w:hint="eastAsia" w:ascii="仿宋" w:hAnsi="仿宋" w:eastAsia="仿宋" w:cs="仿宋"/>
                      <w:color w:val="000000" w:themeColor="text1"/>
                      <w:vertAlign w:val="superscript"/>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w:t>
                  </w:r>
                </w:p>
              </w:tc>
              <w:tc>
                <w:tcPr>
                  <w:tcW w:w="502"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Pr>
              <w:tc>
                <w:tcPr>
                  <w:tcW w:w="450" w:type="pct"/>
                  <w:noWrap w:val="0"/>
                  <w:vAlign w:val="center"/>
                </w:tcPr>
                <w:p>
                  <w:pPr>
                    <w:pStyle w:val="58"/>
                    <w:bidi w:val="0"/>
                    <w:rPr>
                      <w:rFonts w:hint="eastAsia" w:ascii="仿宋" w:hAnsi="仿宋" w:eastAsia="仿宋" w:cs="仿宋"/>
                      <w:color w:val="000000" w:themeColor="text1"/>
                      <w14:textFill>
                        <w14:solidFill>
                          <w14:schemeClr w14:val="tx1"/>
                        </w14:solidFill>
                      </w14:textFill>
                    </w:rPr>
                  </w:pPr>
                </w:p>
              </w:tc>
              <w:tc>
                <w:tcPr>
                  <w:tcW w:w="683" w:type="pct"/>
                  <w:gridSpan w:val="2"/>
                  <w:noWrap w:val="0"/>
                  <w:vAlign w:val="center"/>
                </w:tcPr>
                <w:p>
                  <w:pPr>
                    <w:pStyle w:val="58"/>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生态防护</w:t>
                  </w:r>
                </w:p>
              </w:tc>
              <w:tc>
                <w:tcPr>
                  <w:tcW w:w="3352" w:type="pct"/>
                  <w:gridSpan w:val="2"/>
                  <w:noWrap w:val="0"/>
                  <w:vAlign w:val="center"/>
                </w:tcPr>
                <w:p>
                  <w:pPr>
                    <w:pStyle w:val="58"/>
                    <w:bidi w:val="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永久占地覆土复绿，临时占地施工后全面植被恢复；边坡采用框格梁+植草、浆砌石挡墙等防护；避让基本农田、生态保护红线及公益林。</w:t>
                  </w:r>
                </w:p>
              </w:tc>
              <w:tc>
                <w:tcPr>
                  <w:tcW w:w="502" w:type="pct"/>
                  <w:noWrap w:val="0"/>
                  <w:vAlign w:val="center"/>
                </w:tcPr>
                <w:p>
                  <w:pPr>
                    <w:pStyle w:val="58"/>
                    <w:bidi w:val="0"/>
                    <w:rPr>
                      <w:rFonts w:hint="eastAsia" w:ascii="仿宋" w:hAnsi="仿宋" w:eastAsia="仿宋" w:cs="仿宋"/>
                      <w:color w:val="000000" w:themeColor="text1"/>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3</w:t>
            </w:r>
            <w:r>
              <w:rPr>
                <w:rFonts w:hint="default" w:ascii="仿宋" w:hAnsi="仿宋" w:eastAsia="仿宋" w:cs="仿宋"/>
                <w:b/>
                <w:bCs/>
                <w:color w:val="000000" w:themeColor="text1"/>
                <w:kern w:val="0"/>
                <w:sz w:val="24"/>
                <w:szCs w:val="24"/>
                <w14:textFill>
                  <w14:solidFill>
                    <w14:schemeClr w14:val="tx1"/>
                  </w14:solidFill>
                </w14:textFill>
              </w:rPr>
              <w:t>、工程占地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000000" w:themeColor="text1"/>
                <w:kern w:val="0"/>
                <w:sz w:val="24"/>
                <w:szCs w:val="24"/>
                <w:lang w:val="en-US" w:eastAsia="zh-CN"/>
                <w14:textFill>
                  <w14:solidFill>
                    <w14:schemeClr w14:val="tx1"/>
                  </w14:solidFill>
                </w14:textFill>
              </w:rPr>
            </w:pPr>
            <w:bookmarkStart w:id="16" w:name="OLE_LINK3"/>
            <w:r>
              <w:rPr>
                <w:rFonts w:hint="eastAsia" w:ascii="仿宋" w:hAnsi="仿宋" w:eastAsia="仿宋" w:cs="仿宋"/>
                <w:color w:val="000000" w:themeColor="text1"/>
                <w:kern w:val="0"/>
                <w:sz w:val="24"/>
                <w:szCs w:val="24"/>
                <w:lang w:val="en-US" w:eastAsia="zh-CN"/>
                <w14:textFill>
                  <w14:solidFill>
                    <w14:schemeClr w14:val="tx1"/>
                  </w14:solidFill>
                </w14:textFill>
              </w:rPr>
              <w:t>根据2025年12月10日弥渡县林业和草原局《关于莲峰村项目选址意见的复函》（详见附件）本项目选址范围内涉及1个开关站、4个风机、4个箱变，面积0.5382公顷，其中：交通运输用地0.0153公顷；林地0.5229公顷（人工乔木林地，重点商品林，林地保护等级为</w:t>
            </w: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Ⅲ</w:t>
            </w:r>
            <w:r>
              <w:rPr>
                <w:rFonts w:hint="eastAsia" w:ascii="仿宋" w:hAnsi="仿宋" w:eastAsia="仿宋" w:cs="仿宋"/>
                <w:color w:val="000000" w:themeColor="text1"/>
                <w:kern w:val="0"/>
                <w:sz w:val="24"/>
                <w:szCs w:val="24"/>
                <w:lang w:val="en-US" w:eastAsia="zh-CN"/>
                <w14:textFill>
                  <w14:solidFill>
                    <w14:schemeClr w14:val="tx1"/>
                  </w14:solidFill>
                </w14:textFill>
              </w:rPr>
              <w:t>级），在林地面积中涉及乔木林平均单位面积蓄积量超过弥渡县乔木林平均单位面积蓄积量150%的林地0.4207公顷</w:t>
            </w:r>
            <w:r>
              <w:rPr>
                <w:rFonts w:hint="default" w:ascii="仿宋" w:hAnsi="仿宋" w:eastAsia="仿宋" w:cs="仿宋"/>
                <w:color w:val="000000" w:themeColor="text1"/>
                <w:kern w:val="0"/>
                <w:sz w:val="24"/>
                <w:szCs w:val="24"/>
                <w:lang w:val="en-US"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项目占地不涉及永久基本农田、耕地、国家及地方公益林，项目占地类型具体如下所示：</w:t>
            </w:r>
          </w:p>
          <w:p>
            <w:pPr>
              <w:pStyle w:val="5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eastAsia"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 xml:space="preserve">  本工程占用土地利用类型情况表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2008"/>
              <w:gridCol w:w="1098"/>
              <w:gridCol w:w="1042"/>
              <w:gridCol w:w="1117"/>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7" w:type="pct"/>
                  <w:gridSpan w:val="2"/>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工程占地类型</w:t>
                  </w:r>
                </w:p>
              </w:tc>
              <w:tc>
                <w:tcPr>
                  <w:tcW w:w="1350" w:type="pct"/>
                  <w:gridSpan w:val="2"/>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永久</w:t>
                  </w:r>
                  <w:r>
                    <w:rPr>
                      <w:rFonts w:hint="eastAsia" w:ascii="仿宋" w:hAnsi="仿宋" w:eastAsia="仿宋" w:cs="仿宋"/>
                      <w:color w:val="000000" w:themeColor="text1"/>
                      <w:sz w:val="21"/>
                      <w:szCs w:val="21"/>
                      <w14:textFill>
                        <w14:solidFill>
                          <w14:schemeClr w14:val="tx1"/>
                        </w14:solidFill>
                      </w14:textFill>
                    </w:rPr>
                    <w:t>占地</w:t>
                  </w:r>
                </w:p>
              </w:tc>
              <w:tc>
                <w:tcPr>
                  <w:tcW w:w="1361" w:type="pct"/>
                  <w:gridSpan w:val="2"/>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9"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一级类</w:t>
                  </w:r>
                </w:p>
              </w:tc>
              <w:tc>
                <w:tcPr>
                  <w:tcW w:w="1267"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二级类</w:t>
                  </w:r>
                </w:p>
              </w:tc>
              <w:tc>
                <w:tcPr>
                  <w:tcW w:w="693" w:type="pct"/>
                  <w:noWrap w:val="0"/>
                  <w:vAlign w:val="center"/>
                </w:tcPr>
                <w:p>
                  <w:pPr>
                    <w:pStyle w:val="58"/>
                    <w:bidi w:val="0"/>
                    <w:rPr>
                      <w:rFonts w:hint="eastAsia" w:ascii="仿宋" w:hAnsi="仿宋" w:eastAsia="仿宋" w:cs="仿宋"/>
                      <w:bCs/>
                      <w:color w:val="000000" w:themeColor="text1"/>
                      <w:spacing w:val="-11"/>
                      <w:sz w:val="21"/>
                      <w:szCs w:val="21"/>
                      <w:lang w:val="en-US" w:eastAsia="zh-CN"/>
                      <w14:textFill>
                        <w14:solidFill>
                          <w14:schemeClr w14:val="tx1"/>
                        </w14:solidFill>
                      </w14:textFill>
                    </w:rPr>
                  </w:pPr>
                  <w:r>
                    <w:rPr>
                      <w:rFonts w:hint="eastAsia" w:ascii="仿宋" w:hAnsi="仿宋" w:eastAsia="仿宋" w:cs="仿宋"/>
                      <w:bCs/>
                      <w:color w:val="000000" w:themeColor="text1"/>
                      <w:spacing w:val="-11"/>
                      <w:sz w:val="21"/>
                      <w:szCs w:val="21"/>
                      <w:lang w:val="en-US" w:eastAsia="zh-CN"/>
                      <w14:textFill>
                        <w14:solidFill>
                          <w14:schemeClr w14:val="tx1"/>
                        </w14:solidFill>
                      </w14:textFill>
                    </w:rPr>
                    <w:t>面积</w:t>
                  </w:r>
                </w:p>
                <w:p>
                  <w:pPr>
                    <w:pStyle w:val="58"/>
                    <w:bidi w:val="0"/>
                    <w:rPr>
                      <w:rFonts w:hint="eastAsia" w:ascii="仿宋" w:hAnsi="仿宋" w:eastAsia="仿宋" w:cs="仿宋"/>
                      <w:bCs/>
                      <w:color w:val="000000" w:themeColor="text1"/>
                      <w:spacing w:val="-11"/>
                      <w:sz w:val="21"/>
                      <w:szCs w:val="21"/>
                      <w:lang w:val="en-US" w:eastAsia="zh-CN"/>
                      <w14:textFill>
                        <w14:solidFill>
                          <w14:schemeClr w14:val="tx1"/>
                        </w14:solidFill>
                      </w14:textFill>
                    </w:rPr>
                  </w:pPr>
                  <w:r>
                    <w:rPr>
                      <w:rFonts w:hint="eastAsia" w:ascii="仿宋" w:hAnsi="仿宋" w:eastAsia="仿宋" w:cs="仿宋"/>
                      <w:bCs/>
                      <w:color w:val="000000" w:themeColor="text1"/>
                      <w:spacing w:val="-11"/>
                      <w:sz w:val="21"/>
                      <w:szCs w:val="21"/>
                      <w:lang w:val="en-US" w:eastAsia="zh-CN"/>
                      <w14:textFill>
                        <w14:solidFill>
                          <w14:schemeClr w14:val="tx1"/>
                        </w14:solidFill>
                      </w14:textFill>
                    </w:rPr>
                    <w:t>（公顷）</w:t>
                  </w:r>
                </w:p>
              </w:tc>
              <w:tc>
                <w:tcPr>
                  <w:tcW w:w="65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占比（%）</w:t>
                  </w:r>
                </w:p>
              </w:tc>
              <w:tc>
                <w:tcPr>
                  <w:tcW w:w="7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（公顷）</w:t>
                  </w:r>
                </w:p>
              </w:tc>
              <w:tc>
                <w:tcPr>
                  <w:tcW w:w="65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vMerge w:val="restar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03林地</w:t>
                  </w:r>
                </w:p>
              </w:tc>
              <w:tc>
                <w:tcPr>
                  <w:tcW w:w="1267" w:type="pc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0301乔木林地</w:t>
                  </w:r>
                </w:p>
              </w:tc>
              <w:tc>
                <w:tcPr>
                  <w:tcW w:w="109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11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vMerge w:val="continue"/>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p>
              </w:tc>
              <w:tc>
                <w:tcPr>
                  <w:tcW w:w="1267"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0305灌木林地</w:t>
                  </w:r>
                </w:p>
              </w:tc>
              <w:tc>
                <w:tcPr>
                  <w:tcW w:w="109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11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noWrap/>
                  <w:vAlign w:val="center"/>
                </w:tcPr>
                <w:p>
                  <w:pPr>
                    <w:pStyle w:val="58"/>
                    <w:bidi w:val="0"/>
                    <w:rPr>
                      <w:rFonts w:hint="eastAsia" w:ascii="仿宋" w:hAnsi="仿宋" w:eastAsia="仿宋" w:cs="仿宋"/>
                      <w:bCs/>
                      <w:color w:val="000000" w:themeColor="text1"/>
                      <w:spacing w:val="-11"/>
                      <w:sz w:val="21"/>
                      <w:szCs w:val="21"/>
                      <w:lang w:val="en-US" w:eastAsia="zh-CN"/>
                      <w14:textFill>
                        <w14:solidFill>
                          <w14:schemeClr w14:val="tx1"/>
                        </w14:solidFill>
                      </w14:textFill>
                    </w:rPr>
                  </w:pPr>
                  <w:r>
                    <w:rPr>
                      <w:rFonts w:hint="eastAsia" w:ascii="仿宋" w:hAnsi="仿宋" w:eastAsia="仿宋" w:cs="仿宋"/>
                      <w:bCs/>
                      <w:color w:val="000000" w:themeColor="text1"/>
                      <w:spacing w:val="-11"/>
                      <w:sz w:val="21"/>
                      <w:szCs w:val="21"/>
                      <w:lang w:val="en-US" w:eastAsia="zh-CN"/>
                      <w14:textFill>
                        <w14:solidFill>
                          <w14:schemeClr w14:val="tx1"/>
                        </w14:solidFill>
                      </w14:textFill>
                    </w:rPr>
                    <w:t>10交通运输用地</w:t>
                  </w:r>
                </w:p>
              </w:tc>
              <w:tc>
                <w:tcPr>
                  <w:tcW w:w="1267" w:type="pct"/>
                  <w:noWrap/>
                  <w:vAlign w:val="center"/>
                </w:tcPr>
                <w:p>
                  <w:pPr>
                    <w:pStyle w:val="58"/>
                    <w:bidi w:val="0"/>
                    <w:rPr>
                      <w:rFonts w:hint="eastAsia" w:ascii="仿宋" w:hAnsi="仿宋" w:eastAsia="仿宋" w:cs="仿宋"/>
                      <w:bCs/>
                      <w:color w:val="000000" w:themeColor="text1"/>
                      <w:spacing w:val="-11"/>
                      <w:sz w:val="21"/>
                      <w:szCs w:val="21"/>
                      <w:lang w:val="en-US"/>
                      <w14:textFill>
                        <w14:solidFill>
                          <w14:schemeClr w14:val="tx1"/>
                        </w14:solidFill>
                      </w14:textFill>
                    </w:rPr>
                  </w:pPr>
                  <w:r>
                    <w:rPr>
                      <w:rFonts w:hint="eastAsia" w:ascii="仿宋" w:hAnsi="仿宋" w:eastAsia="仿宋" w:cs="仿宋"/>
                      <w:bCs/>
                      <w:color w:val="000000" w:themeColor="text1"/>
                      <w:spacing w:val="-11"/>
                      <w:sz w:val="21"/>
                      <w:szCs w:val="21"/>
                      <w:lang w:val="en-US" w:eastAsia="zh-CN"/>
                      <w14:textFill>
                        <w14:solidFill>
                          <w14:schemeClr w14:val="tx1"/>
                        </w14:solidFill>
                      </w14:textFill>
                    </w:rPr>
                    <w:t>1004城镇村道路用地</w:t>
                  </w:r>
                </w:p>
              </w:tc>
              <w:tc>
                <w:tcPr>
                  <w:tcW w:w="109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11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7" w:type="pct"/>
                  <w:gridSpan w:val="2"/>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总计</w:t>
                  </w:r>
                </w:p>
              </w:tc>
              <w:tc>
                <w:tcPr>
                  <w:tcW w:w="109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11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bookmarkEnd w:id="16"/>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4</w:t>
            </w:r>
            <w:r>
              <w:rPr>
                <w:rFonts w:hint="default" w:ascii="仿宋" w:hAnsi="仿宋" w:eastAsia="仿宋" w:cs="仿宋"/>
                <w:b/>
                <w:bCs/>
                <w:color w:val="000000" w:themeColor="text1"/>
                <w:kern w:val="0"/>
                <w:sz w:val="24"/>
                <w:szCs w:val="24"/>
                <w14:textFill>
                  <w14:solidFill>
                    <w14:schemeClr w14:val="tx1"/>
                  </w14:solidFill>
                </w14:textFill>
              </w:rPr>
              <w:t>、劳动定员和工作制度</w:t>
            </w:r>
          </w:p>
          <w:p>
            <w:pPr>
              <w:spacing w:line="360" w:lineRule="auto"/>
              <w:ind w:firstLine="480" w:firstLineChars="0"/>
              <w:jc w:val="both"/>
              <w:rPr>
                <w:rFonts w:hint="eastAsia"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工程运营期工作人员6人，全部集中在开关站内办公食宿。采用24小时值班制，全年工作365天，定期换班。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59"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总平面及现场布置</w:t>
            </w:r>
          </w:p>
        </w:tc>
        <w:tc>
          <w:tcPr>
            <w:tcW w:w="8152" w:type="dxa"/>
            <w:noWrap w:val="0"/>
            <w:vAlign w:val="center"/>
          </w:tcPr>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default" w:ascii="仿宋" w:hAnsi="仿宋" w:eastAsia="仿宋" w:cs="仿宋"/>
                <w:b/>
                <w:bCs/>
                <w:color w:val="000000" w:themeColor="text1"/>
                <w:kern w:val="0"/>
                <w:sz w:val="24"/>
                <w:szCs w:val="24"/>
                <w:lang w:val="en-US" w:eastAsia="zh-CN"/>
                <w14:textFill>
                  <w14:solidFill>
                    <w14:schemeClr w14:val="tx1"/>
                  </w14:solidFill>
                </w14:textFill>
              </w:rPr>
              <w:t>1、工程总体布置</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莲峰村项目规划装机容量20MW，拟建设4台单机容量为5000kW风力发电机组，新建一座35kV开关站。风电机组通过箱式变电站升压至 35kV，再通过35kV地埋电缆连接至场内新建 35kV 开关站。新建及改扩建场内道路沿盘山及山脊修建，进场道路利用现有国道、县道及乡村公路改扩建。</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本工程新建一座35kV 开关站，场址位于WTG1与WTG2风电机组附近缓坡部位，风电场的风电机组通过35kV集电线路接入该开关站汇集送出。开关站占地面积1848㎡，采用全预制舱布置方案。整个开关站分为电气区和办公生活区两部分。</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电气区内包括35kV配电装置、SVG动态无功补偿装置、站用变、一体化消防水池与泵房等建构筑物，运行检修人员对开关站巡视和检修方便。</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办公生活区包括生产生活楼预制舱、检修舱、一般固废暂存区、</w:t>
            </w:r>
            <w:r>
              <w:rPr>
                <w:rFonts w:hint="eastAsia" w:ascii="仿宋" w:hAnsi="仿宋" w:eastAsia="仿宋" w:cs="仿宋"/>
                <w:color w:val="000000" w:themeColor="text1"/>
                <w:kern w:val="0"/>
                <w:sz w:val="24"/>
                <w:szCs w:val="24"/>
                <w:lang w:val="en-US" w:eastAsia="zh-CN"/>
                <w14:textFill>
                  <w14:solidFill>
                    <w14:schemeClr w14:val="tx1"/>
                  </w14:solidFill>
                </w14:textFill>
              </w:rPr>
              <w:t>危险废物暂存间</w:t>
            </w:r>
            <w:r>
              <w:rPr>
                <w:rFonts w:hint="default" w:ascii="仿宋" w:hAnsi="仿宋" w:eastAsia="仿宋" w:cs="仿宋"/>
                <w:color w:val="000000" w:themeColor="text1"/>
                <w:kern w:val="0"/>
                <w:sz w:val="24"/>
                <w:szCs w:val="24"/>
                <w:lang w:val="en-US" w:eastAsia="zh-CN"/>
                <w14:textFill>
                  <w14:solidFill>
                    <w14:schemeClr w14:val="tx1"/>
                  </w14:solidFill>
                </w14:textFill>
              </w:rPr>
              <w:t>、生活污水处理设备、绿化活动场地等。</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检修舱布置在进站大门旁，出入口靠近站区主干道，视野比较开阔，主体建筑突出。道路和绿化将生产设备区与控制管理区分开，形成独立的站前空间，便于日常管理，同时又给运行值班人员创造一个相对安静的工作、休息环境。</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default" w:ascii="仿宋" w:hAnsi="仿宋" w:eastAsia="仿宋" w:cs="仿宋"/>
                <w:b/>
                <w:bCs/>
                <w:color w:val="000000" w:themeColor="text1"/>
                <w:kern w:val="0"/>
                <w:sz w:val="24"/>
                <w:szCs w:val="24"/>
                <w:lang w:val="en-US" w:eastAsia="zh-CN"/>
                <w14:textFill>
                  <w14:solidFill>
                    <w14:schemeClr w14:val="tx1"/>
                  </w14:solidFill>
                </w14:textFill>
              </w:rPr>
              <w:t>2、施工总布置</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依据施工总布置原则，结合本工程区侵蚀构造中山地貌、山脊地形条件及风电工程的特点，施工布置采取集中与分散相结合的原则，充分考虑永久和临时建筑关系，进行施工工厂设施的布置，力求布置紧凑、节约用地，又方便施工和管理，同时兼顾环保要求。施工设备仓库、材料设备仓库、主要的附属加工厂、临时生活区等布置在风电场内地势较高和交通方便处。</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（1）混凝土系统：由于风机基础施工分散，结合施工场区山脊地形、机位分散布置限制，不集中设置大型混凝土搅拌站，工程所需混凝土优先采用外购商品混凝土。</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（2）砂石料场地：由于本工程混凝土成品骨料用量不大，本工程不设砂石料加工系统，砂石料、混凝土骨料均采用外购方式。</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（3）机械修配及综合加工厂：施工临建区设置机械修配厂及综合加工厂（含钢木加工厂），为便于施工生产和管理，施工工厂集中布置在施工电源点和交通便利处。</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（4）临时生产生活区：结合施工总体布置，将临时生产生活区布置在施工场地集中区，尽量利用现有场地，减少山体开挖与植被破坏。</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（5）仓库布置：本工程所需仓库为材料和设备仓库，集中布置在风电机组安装平台、设备堆场附近及临时生产生活区，便于风机设备、建筑材料转运。</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6）堆土场：项目共规划2个堆土场，选址均避让基本农田、生态保护红线、国家二级公益林、天然乔木林，不涉及饮用水水源保护区、风景名胜区等敏感区域；不涉及河流、水库最高水位线以下的滩地和岸坡；占用植被为当地常见物种，不涉及保护植物。</w:t>
            </w:r>
          </w:p>
          <w:p>
            <w:pPr>
              <w:spacing w:line="360" w:lineRule="auto"/>
              <w:ind w:firstLine="480" w:firstLineChars="0"/>
              <w:jc w:val="both"/>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（7）弃渣场：项目共设置</w:t>
            </w:r>
            <w:r>
              <w:rPr>
                <w:rFonts w:hint="eastAsia" w:ascii="仿宋" w:hAnsi="仿宋" w:eastAsia="仿宋" w:cs="仿宋"/>
                <w:color w:val="000000" w:themeColor="text1"/>
                <w:kern w:val="0"/>
                <w:sz w:val="24"/>
                <w:szCs w:val="24"/>
                <w:lang w:val="en-US" w:eastAsia="zh-CN"/>
                <w14:textFill>
                  <w14:solidFill>
                    <w14:schemeClr w14:val="tx1"/>
                  </w14:solidFill>
                </w14:textFill>
              </w:rPr>
              <w:t>1</w:t>
            </w:r>
            <w:r>
              <w:rPr>
                <w:rFonts w:hint="default" w:ascii="仿宋" w:hAnsi="仿宋" w:eastAsia="仿宋" w:cs="仿宋"/>
                <w:color w:val="000000" w:themeColor="text1"/>
                <w:kern w:val="0"/>
                <w:sz w:val="24"/>
                <w:szCs w:val="24"/>
                <w:lang w:val="en-US" w:eastAsia="zh-CN"/>
                <w14:textFill>
                  <w14:solidFill>
                    <w14:schemeClr w14:val="tx1"/>
                  </w14:solidFill>
                </w14:textFill>
              </w:rPr>
              <w:t>个弃渣场，选址均避让基本农田、生态保护红线、国家二级公益林、天然乔木林，不涉及饮用水水源保护区、风景名胜区等敏感区域；不涉及河流、水库最高水位线以下的滩地和岸坡；占用植被为当地常见物种，不涉及保护植物。弃渣场按要求设置挡渣墙、排水及植被恢复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1059"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施工方案</w:t>
            </w:r>
          </w:p>
        </w:tc>
        <w:tc>
          <w:tcPr>
            <w:tcW w:w="8152" w:type="dxa"/>
            <w:noWrap w:val="0"/>
            <w:vAlign w:val="center"/>
          </w:tcPr>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1、施工工艺</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输电线路施工材料采用公路车辆运输，以人工开挖、人工回填为主，施工过程仅配合使用小型机械作业。集电线路采用35kV电缆直埋敷设方式施工，按沟槽开挖、基底处理、电缆敷设、沟槽回填的工序实施。项目施工期总体工序按“</w:t>
            </w:r>
            <w:r>
              <w:rPr>
                <w:rFonts w:hint="eastAsia" w:ascii="仿宋" w:hAnsi="仿宋" w:eastAsia="仿宋" w:cs="仿宋"/>
                <w:color w:val="000000" w:themeColor="text1"/>
                <w:kern w:val="0"/>
                <w:sz w:val="24"/>
                <w:szCs w:val="24"/>
                <w:lang w:val="en-US" w:eastAsia="zh-CN"/>
                <w14:textFill>
                  <w14:solidFill>
                    <w14:schemeClr w14:val="tx1"/>
                  </w14:solidFill>
                </w14:textFill>
              </w:rPr>
              <w:t>基础开挖（基底开挖）</w:t>
            </w:r>
            <w:r>
              <w:rPr>
                <w:rFonts w:hint="default" w:ascii="仿宋" w:hAnsi="仿宋" w:eastAsia="仿宋" w:cs="仿宋"/>
                <w:color w:val="000000" w:themeColor="text1"/>
                <w:kern w:val="0"/>
                <w:sz w:val="24"/>
                <w:szCs w:val="24"/>
                <w:lang w:val="en-US"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基础浇筑</w:t>
            </w:r>
            <w:r>
              <w:rPr>
                <w:rFonts w:hint="default" w:ascii="仿宋" w:hAnsi="仿宋" w:eastAsia="仿宋" w:cs="仿宋"/>
                <w:color w:val="000000" w:themeColor="text1"/>
                <w:kern w:val="0"/>
                <w:sz w:val="24"/>
                <w:szCs w:val="24"/>
                <w:lang w:val="en-US"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机组与集电线路安装</w:t>
            </w:r>
            <w:r>
              <w:rPr>
                <w:rFonts w:hint="default" w:ascii="仿宋" w:hAnsi="仿宋" w:eastAsia="仿宋" w:cs="仿宋"/>
                <w:color w:val="000000" w:themeColor="text1"/>
                <w:kern w:val="0"/>
                <w:sz w:val="24"/>
                <w:szCs w:val="24"/>
                <w:lang w:val="en-US"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调试运行</w:t>
            </w:r>
            <w:r>
              <w:rPr>
                <w:rFonts w:hint="default" w:ascii="仿宋" w:hAnsi="仿宋" w:eastAsia="仿宋" w:cs="仿宋"/>
                <w:color w:val="000000" w:themeColor="text1"/>
                <w:kern w:val="0"/>
                <w:sz w:val="24"/>
                <w:szCs w:val="24"/>
                <w:lang w:val="en-US" w:eastAsia="zh-CN"/>
                <w14:textFill>
                  <w14:solidFill>
                    <w14:schemeClr w14:val="tx1"/>
                  </w14:solidFill>
                </w14:textFill>
              </w:rPr>
              <w:t>” 执行。</w:t>
            </w:r>
            <w:r>
              <w:rPr>
                <w:rFonts w:hint="eastAsia" w:ascii="仿宋" w:hAnsi="仿宋" w:eastAsia="仿宋" w:cs="仿宋"/>
                <w:color w:val="000000" w:themeColor="text1"/>
                <w:kern w:val="0"/>
                <w:sz w:val="24"/>
                <w:szCs w:val="24"/>
                <w:lang w:val="en-US" w:eastAsia="zh-CN"/>
                <w14:textFill>
                  <w14:solidFill>
                    <w14:schemeClr w14:val="tx1"/>
                  </w14:solidFill>
                </w14:textFill>
              </w:rPr>
              <w:t>项目</w:t>
            </w:r>
            <w:r>
              <w:rPr>
                <w:rFonts w:hint="default" w:ascii="仿宋" w:hAnsi="仿宋" w:eastAsia="仿宋" w:cs="仿宋"/>
                <w:color w:val="000000" w:themeColor="text1"/>
                <w:kern w:val="0"/>
                <w:sz w:val="24"/>
                <w:szCs w:val="24"/>
                <w:lang w:val="en-US" w:eastAsia="zh-CN"/>
                <w14:textFill>
                  <w14:solidFill>
                    <w14:schemeClr w14:val="tx1"/>
                  </w14:solidFill>
                </w14:textFill>
              </w:rPr>
              <w:t>工程施工期工序流程见下图：</w:t>
            </w:r>
          </w:p>
          <w:p>
            <w:pPr>
              <w:bidi w:val="0"/>
              <w:jc w:val="center"/>
              <w:rPr>
                <w:rFonts w:hint="eastAsia" w:eastAsia="宋体"/>
                <w:color w:val="000000" w:themeColor="text1"/>
                <w:spacing w:val="-1"/>
                <w:sz w:val="24"/>
                <w:szCs w:val="24"/>
                <w:lang w:eastAsia="zh-CN"/>
                <w14:textFill>
                  <w14:solidFill>
                    <w14:schemeClr w14:val="tx1"/>
                  </w14:solidFill>
                </w14:textFill>
              </w:rPr>
            </w:pPr>
            <w:r>
              <w:rPr>
                <w:rFonts w:hint="eastAsia" w:eastAsia="宋体"/>
                <w:color w:val="000000" w:themeColor="text1"/>
                <w:spacing w:val="-1"/>
                <w:sz w:val="24"/>
                <w:szCs w:val="24"/>
                <w:lang w:eastAsia="zh-CN"/>
                <w14:textFill>
                  <w14:solidFill>
                    <w14:schemeClr w14:val="tx1"/>
                  </w14:solidFill>
                </w14:textFill>
              </w:rPr>
              <w:drawing>
                <wp:inline distT="0" distB="0" distL="114300" distR="114300">
                  <wp:extent cx="5134610" cy="1640840"/>
                  <wp:effectExtent l="0" t="0" r="0" b="0"/>
                  <wp:docPr id="4" name="ECB019B1-382A-4266-B25C-5B523AA43C14-1" descr="C:/Users/Administrator/AppData/Local/Temp/wps.HDzBp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Administrator/AppData/Local/Temp/wps.HDzBpXwps"/>
                          <pic:cNvPicPr>
                            <a:picLocks noChangeAspect="1"/>
                          </pic:cNvPicPr>
                        </pic:nvPicPr>
                        <pic:blipFill>
                          <a:blip r:embed="rId13"/>
                          <a:stretch>
                            <a:fillRect/>
                          </a:stretch>
                        </pic:blipFill>
                        <pic:spPr>
                          <a:xfrm>
                            <a:off x="0" y="0"/>
                            <a:ext cx="5134610" cy="1640840"/>
                          </a:xfrm>
                          <a:prstGeom prst="rect">
                            <a:avLst/>
                          </a:prstGeom>
                          <a:noFill/>
                          <a:ln>
                            <a:noFill/>
                          </a:ln>
                        </pic:spPr>
                      </pic:pic>
                    </a:graphicData>
                  </a:graphic>
                </wp:inline>
              </w:drawing>
            </w:r>
          </w:p>
          <w:p>
            <w:pPr>
              <w:bidi w:val="0"/>
              <w:ind w:left="0" w:leftChars="0" w:firstLine="0" w:firstLineChars="0"/>
              <w:jc w:val="center"/>
              <w:rPr>
                <w:rFonts w:hint="default"/>
                <w:b/>
                <w:bCs/>
                <w:color w:val="000000" w:themeColor="text1"/>
                <w:sz w:val="22"/>
                <w:szCs w:val="22"/>
                <w14:textFill>
                  <w14:solidFill>
                    <w14:schemeClr w14:val="tx1"/>
                  </w14:solidFill>
                </w14:textFill>
              </w:rPr>
            </w:pPr>
            <w:r>
              <w:rPr>
                <w:rFonts w:hint="eastAsia"/>
                <w:b/>
                <w:bCs/>
                <w:color w:val="000000" w:themeColor="text1"/>
                <w:sz w:val="22"/>
                <w:szCs w:val="22"/>
                <w:lang w:val="en-US" w:eastAsia="zh-CN"/>
                <w14:textFill>
                  <w14:solidFill>
                    <w14:schemeClr w14:val="tx1"/>
                  </w14:solidFill>
                </w14:textFill>
              </w:rPr>
              <w:t>图2-1 施工期工艺流程图</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2</w:t>
            </w:r>
            <w:r>
              <w:rPr>
                <w:rFonts w:hint="default" w:ascii="仿宋" w:hAnsi="仿宋" w:eastAsia="仿宋" w:cs="仿宋"/>
                <w:b/>
                <w:bCs/>
                <w:color w:val="000000" w:themeColor="text1"/>
                <w:kern w:val="0"/>
                <w:sz w:val="24"/>
                <w:szCs w:val="24"/>
                <w:lang w:val="en-US" w:eastAsia="zh-CN"/>
                <w14:textFill>
                  <w14:solidFill>
                    <w14:schemeClr w14:val="tx1"/>
                  </w14:solidFill>
                </w14:textFill>
              </w:rPr>
              <w:t>、施工条件</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2</w:t>
            </w:r>
            <w:r>
              <w:rPr>
                <w:rFonts w:hint="default" w:ascii="仿宋" w:hAnsi="仿宋" w:eastAsia="仿宋" w:cs="仿宋"/>
                <w:b/>
                <w:bCs/>
                <w:color w:val="000000" w:themeColor="text1"/>
                <w:kern w:val="0"/>
                <w:sz w:val="24"/>
                <w:szCs w:val="24"/>
                <w:lang w:val="en-US" w:eastAsia="zh-CN"/>
                <w14:textFill>
                  <w14:solidFill>
                    <w14:schemeClr w14:val="tx1"/>
                  </w14:solidFill>
                </w14:textFill>
              </w:rPr>
              <w:t>.1施工交通运输</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工程对外交通运输采用公路运输方式，主要线路如下：风机生产厂商－国内高速公路网－苴力收费站（宾南高速）－祥临公路（1.5km）－S226省道苴德公路（19.5km）－塘太路（13km）－太平路（0.4km）－本风电项目工程场址。其中苴力收费站（宾南高速）－本风电项目场址，总里程约34.4km。</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祥临公路运输路段里程约1.5km为G214国道，路面为沥青路面，此段道路不需要进行改造即可满足运输需求。</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苴德公路运输路段里程约19.5km为S226省道，路面为沥青路面，苴德公路约1.5km路段需进行弯道加宽，约2km路线需进行道路改线。</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塘太路运输路段里程约13km为乡村道路，路面由4km混凝土路面和9km山皮石路面构成。其中约3km水泥混凝土路段需进行路面拼宽；约3km山皮石路段需进行路面拼宽；约2km山皮石路段需进行弯道加宽；约1.5 km山皮石路段需进行道路改线。</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太平运输路段里程约0.4km，路面为沥青路面，可沿用原有道路运输。</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太青路道路分界点至机位点的场内道路总长为4.5km，路面为土路面。约4km土路段需进行改扩建；场内主干道路至风机平台需新建0.5km的支线道路。</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2</w:t>
            </w:r>
            <w:r>
              <w:rPr>
                <w:rFonts w:hint="default" w:ascii="仿宋" w:hAnsi="仿宋" w:eastAsia="仿宋" w:cs="仿宋"/>
                <w:b/>
                <w:bCs/>
                <w:color w:val="000000" w:themeColor="text1"/>
                <w:kern w:val="0"/>
                <w:sz w:val="24"/>
                <w:szCs w:val="24"/>
                <w:lang w:val="en-US" w:eastAsia="zh-CN"/>
                <w14:textFill>
                  <w14:solidFill>
                    <w14:schemeClr w14:val="tx1"/>
                  </w14:solidFill>
                </w14:textFill>
              </w:rPr>
              <w:t>.2施工用水</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施工期生产及生活用水取自场址西侧星峰水库，采用抽水或洒水车运水至各施工点；在风机及开关站附近设置10m³临时水池集中供水，现场设置取水点并加装水表，各施工用水由此处接引。</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2</w:t>
            </w:r>
            <w:r>
              <w:rPr>
                <w:rFonts w:hint="default" w:ascii="仿宋" w:hAnsi="仿宋" w:eastAsia="仿宋" w:cs="仿宋"/>
                <w:b/>
                <w:bCs/>
                <w:color w:val="000000" w:themeColor="text1"/>
                <w:kern w:val="0"/>
                <w:sz w:val="24"/>
                <w:szCs w:val="24"/>
                <w:lang w:val="en-US" w:eastAsia="zh-CN"/>
                <w14:textFill>
                  <w14:solidFill>
                    <w14:schemeClr w14:val="tx1"/>
                  </w14:solidFill>
                </w14:textFill>
              </w:rPr>
              <w:t>.3施工用电</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施工用电从附近村庄接入10kV农电线路供电，线路长度约5km；同时在各风机机位布置80kW移动式柴油发电机共4台，开关站布置200kVA变压器及备用柴油发电机组，满足停电及风机区高空施工用电需求。</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2</w:t>
            </w:r>
            <w:r>
              <w:rPr>
                <w:rFonts w:hint="default" w:ascii="仿宋" w:hAnsi="仿宋" w:eastAsia="仿宋" w:cs="仿宋"/>
                <w:b/>
                <w:bCs/>
                <w:color w:val="000000" w:themeColor="text1"/>
                <w:kern w:val="0"/>
                <w:sz w:val="24"/>
                <w:szCs w:val="24"/>
                <w:lang w:val="en-US" w:eastAsia="zh-CN"/>
                <w14:textFill>
                  <w14:solidFill>
                    <w14:schemeClr w14:val="tx1"/>
                  </w14:solidFill>
                </w14:textFill>
              </w:rPr>
              <w:t>.4通信系统</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施工现场内部通信采用无线电对讲机联络，对外通信依托中国移动、联通、电信公众移动通信网络保障。</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2</w:t>
            </w:r>
            <w:r>
              <w:rPr>
                <w:rFonts w:hint="default" w:ascii="仿宋" w:hAnsi="仿宋" w:eastAsia="仿宋" w:cs="仿宋"/>
                <w:b/>
                <w:bCs/>
                <w:color w:val="000000" w:themeColor="text1"/>
                <w:kern w:val="0"/>
                <w:sz w:val="24"/>
                <w:szCs w:val="24"/>
                <w:lang w:val="en-US" w:eastAsia="zh-CN"/>
                <w14:textFill>
                  <w14:solidFill>
                    <w14:schemeClr w14:val="tx1"/>
                  </w14:solidFill>
                </w14:textFill>
              </w:rPr>
              <w:t>.5建筑材料</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工程施工所需柴油、钢筋、钢材、水泥、砂石料、木材等均从弥渡县城采购，综合运距约40km；不单独设置取料场与砂石加工系统，混凝土采用商品混凝土，由6m³搅拌运输车运至各工作面，现场不设混凝土拌和站。</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3</w:t>
            </w:r>
            <w:r>
              <w:rPr>
                <w:rFonts w:hint="default" w:ascii="仿宋" w:hAnsi="仿宋" w:eastAsia="仿宋" w:cs="仿宋"/>
                <w:b/>
                <w:bCs/>
                <w:color w:val="000000" w:themeColor="text1"/>
                <w:kern w:val="0"/>
                <w:sz w:val="24"/>
                <w:szCs w:val="24"/>
                <w:lang w:val="en-US" w:eastAsia="zh-CN"/>
                <w14:textFill>
                  <w14:solidFill>
                    <w14:schemeClr w14:val="tx1"/>
                  </w14:solidFill>
                </w14:textFill>
              </w:rPr>
              <w:t>、施工人员</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项目施工期高峰人数约120人，施工管理人员、作业人员生活设施均租用当地民房，不设置集中施工营地。</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4</w:t>
            </w:r>
            <w:r>
              <w:rPr>
                <w:rFonts w:hint="default" w:ascii="仿宋" w:hAnsi="仿宋" w:eastAsia="仿宋" w:cs="仿宋"/>
                <w:b/>
                <w:bCs/>
                <w:color w:val="000000" w:themeColor="text1"/>
                <w:kern w:val="0"/>
                <w:sz w:val="24"/>
                <w:szCs w:val="24"/>
                <w:lang w:val="en-US" w:eastAsia="zh-CN"/>
                <w14:textFill>
                  <w14:solidFill>
                    <w14:schemeClr w14:val="tx1"/>
                  </w14:solidFill>
                </w14:textFill>
              </w:rPr>
              <w:t>、施工工期</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工程施工总工期4个月，拟于2026年实施，其中施工准备期15天，主体施工期90天，完建及验收期15天。若项目推进受阻，实际工期相应顺延。</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5</w:t>
            </w:r>
            <w:r>
              <w:rPr>
                <w:rFonts w:hint="default" w:ascii="仿宋" w:hAnsi="仿宋" w:eastAsia="仿宋" w:cs="仿宋"/>
                <w:b/>
                <w:bCs/>
                <w:color w:val="000000" w:themeColor="text1"/>
                <w:kern w:val="0"/>
                <w:sz w:val="24"/>
                <w:szCs w:val="24"/>
                <w:lang w:val="en-US" w:eastAsia="zh-CN"/>
                <w14:textFill>
                  <w14:solidFill>
                    <w14:schemeClr w14:val="tx1"/>
                  </w14:solidFill>
                </w14:textFill>
              </w:rPr>
              <w:t>、施工方案</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主体工程施工主要包括：场内道路施工、开关站施工、风机基础与支架安装、箱变施工、集电线路施工、风电机组安装及调试等内容。</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5</w:t>
            </w:r>
            <w:r>
              <w:rPr>
                <w:rFonts w:hint="default" w:ascii="仿宋" w:hAnsi="仿宋" w:eastAsia="仿宋" w:cs="仿宋"/>
                <w:b/>
                <w:bCs/>
                <w:color w:val="000000" w:themeColor="text1"/>
                <w:kern w:val="0"/>
                <w:sz w:val="24"/>
                <w:szCs w:val="24"/>
                <w:lang w:val="en-US" w:eastAsia="zh-CN"/>
                <w14:textFill>
                  <w14:solidFill>
                    <w14:schemeClr w14:val="tx1"/>
                  </w14:solidFill>
                </w14:textFill>
              </w:rPr>
              <w:t>.1场内道路施工</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（1）表土处理</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（1）表土处理工程采用分段施工，表土剥离后就近临时堆存，路基成型后及时用于边坡防护与植被恢复，减少水土流失。</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2）新建道路施工以机械化施工为主、人工为辅，多作业面同步推进。挖方采用推土机、挖掘机开挖，装载机及自卸汽车转运至填方区；填方分层填筑、分层碾压密实；路基排水、防护工程以石砌结构为主。施工工序：清除植被→平地机/推土机整平→截排水沟放样→开挖截排水沟→压路机压实→路基填筑/开挖→路基防护。</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（3）改扩建道路施工以弯道加宽、路面拓宽为主，实行分段分时施工，减少对既有道路通行影响。基础开挖机械为主、人工配合修整，道路内侧排水沟采用人工开挖施工。</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default" w:ascii="仿宋" w:hAnsi="仿宋" w:eastAsia="仿宋" w:cs="仿宋"/>
                <w:b/>
                <w:bCs/>
                <w:color w:val="000000" w:themeColor="text1"/>
                <w:kern w:val="0"/>
                <w:sz w:val="24"/>
                <w:szCs w:val="24"/>
                <w:lang w:val="en-US" w:eastAsia="zh-CN"/>
                <w14:textFill>
                  <w14:solidFill>
                    <w14:schemeClr w14:val="tx1"/>
                  </w14:solidFill>
                </w14:textFill>
              </w:rPr>
              <w:t>5.2开关站施工</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开关站位于WTG1与WTG2之间缓坡地带，采用全预制舱结构。基础土石方开挖边坡按1:1.25控制，采用推土机或反铲开挖，基坑底部留30cm保护层人工开挖，避免扰动基底原状土；开挖土方临时堆存，用于场地回填。建构筑物施工：预制舱基础采用现浇混凝土，舱体现场吊装固定；围墙为毛石基础、铁艺围栏，人工开挖、砂浆砌筑、焊接安装。电气设备安装：主变压器、35kV开关柜、SVG等采用汽车吊就位，按“施工准备→基础检查→设备开箱检查→吊装就位→附件安装→绝缘油处理→真空注油试验→调试运行” 流程实施。电力进线与母线同步安装调试，分回路投产，后续接线须有运行人员监护，确保人身与设备安全。</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default" w:ascii="仿宋" w:hAnsi="仿宋" w:eastAsia="仿宋" w:cs="仿宋"/>
                <w:b/>
                <w:bCs/>
                <w:color w:val="000000" w:themeColor="text1"/>
                <w:kern w:val="0"/>
                <w:sz w:val="24"/>
                <w:szCs w:val="24"/>
                <w:lang w:val="en-US" w:eastAsia="zh-CN"/>
                <w14:textFill>
                  <w14:solidFill>
                    <w14:schemeClr w14:val="tx1"/>
                  </w14:solidFill>
                </w14:textFill>
              </w:rPr>
              <w:t>5.3集电线路施工</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集电线路采用35kV电缆直埋敷设，沿场内道路及防火通道布置，施工分为四阶段：</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①沟槽开挖电缆沟埋深约1.0m，机械开挖为主，预留20cm人工清底防超挖；沟槽宽度较设计每侧加宽0.5m，便于施工与排水；边坡按需放坡或支护，沟槽两侧堆土高度不大于1.5m。</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②基底处理基底预留10～15cm人工整平，地下水发育段铺设碎石垫层，再施工电缆保护层或混凝土垫层。</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③电缆敷设电缆经试验合格后下入沟槽，敷设平顺、无扭曲损伤。</w:t>
            </w:r>
          </w:p>
          <w:p>
            <w:pPr>
              <w:spacing w:line="360" w:lineRule="auto"/>
              <w:ind w:firstLine="480" w:firstLineChars="0"/>
              <w:jc w:val="both"/>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④沟槽回填电缆试验合格后开始回填：先回填100mm厚干砂覆盖电缆并人工夯实；再分层填土，每层松铺厚度不大于300mm；顶部400mm范围内人工夯实（密实度≥85%），下部采用蛙式打夯机压实（密实度≥95%），恢复原地形。</w:t>
            </w:r>
          </w:p>
          <w:p>
            <w:pPr>
              <w:spacing w:line="360" w:lineRule="auto"/>
              <w:ind w:firstLine="480" w:firstLineChars="0"/>
              <w:jc w:val="both"/>
              <w:rPr>
                <w:rFonts w:hint="default" w:ascii="仿宋" w:hAnsi="仿宋" w:eastAsia="仿宋" w:cs="仿宋"/>
                <w:b/>
                <w:bCs/>
                <w:color w:val="000000" w:themeColor="text1"/>
                <w:kern w:val="0"/>
                <w:sz w:val="24"/>
                <w:szCs w:val="24"/>
                <w:lang w:val="en-US" w:eastAsia="zh-CN"/>
                <w14:textFill>
                  <w14:solidFill>
                    <w14:schemeClr w14:val="tx1"/>
                  </w14:solidFill>
                </w14:textFill>
              </w:rPr>
            </w:pPr>
            <w:r>
              <w:rPr>
                <w:rFonts w:hint="default" w:ascii="仿宋" w:hAnsi="仿宋" w:eastAsia="仿宋" w:cs="仿宋"/>
                <w:b/>
                <w:bCs/>
                <w:color w:val="000000" w:themeColor="text1"/>
                <w:kern w:val="0"/>
                <w:sz w:val="24"/>
                <w:szCs w:val="24"/>
                <w:lang w:val="en-US" w:eastAsia="zh-CN"/>
                <w14:textFill>
                  <w14:solidFill>
                    <w14:schemeClr w14:val="tx1"/>
                  </w14:solidFill>
                </w14:textFill>
              </w:rPr>
              <w:t>5.4风机基础与机组安装</w:t>
            </w:r>
          </w:p>
          <w:p>
            <w:pPr>
              <w:spacing w:line="360" w:lineRule="auto"/>
              <w:ind w:firstLine="480" w:firstLineChars="0"/>
              <w:jc w:val="both"/>
              <w:rPr>
                <w:rFonts w:hint="eastAsia" w:ascii="仿宋" w:hAnsi="仿宋" w:eastAsia="仿宋" w:cs="仿宋"/>
                <w:color w:val="000000" w:themeColor="text1"/>
                <w:kern w:val="0"/>
                <w:szCs w:val="21"/>
                <w14:textFill>
                  <w14:solidFill>
                    <w14:schemeClr w14:val="tx1"/>
                  </w14:solidFill>
                </w14:textFill>
              </w:rPr>
            </w:pPr>
            <w:r>
              <w:rPr>
                <w:rFonts w:hint="default" w:ascii="仿宋" w:hAnsi="仿宋" w:eastAsia="仿宋" w:cs="仿宋"/>
                <w:color w:val="000000" w:themeColor="text1"/>
                <w:kern w:val="0"/>
                <w:sz w:val="24"/>
                <w:szCs w:val="24"/>
                <w:lang w:val="en-US" w:eastAsia="zh-CN"/>
                <w14:textFill>
                  <w14:solidFill>
                    <w14:schemeClr w14:val="tx1"/>
                  </w14:solidFill>
                </w14:textFill>
              </w:rPr>
              <w:t>风机基础采用C40钢筋混凝土圆形扩展基础，以强风化～中等风化泥岩为持力层，按定位放线→机械开挖→人工清底→垫层浇筑→钢筋绑扎→锚栓安装→混凝土一次性浇筑→养护→回填工序施工。风电机组吊装采用1200t汽车吊主吊+200t汽车吊辅吊组合，按塔筒→机舱→叶轮顺序吊装，严格控制风速条件：塔架吊装风速≤12m/s，机舱、叶轮吊装风速≤6m/s，避开大风、大雾、雷雨天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59"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其他</w:t>
            </w:r>
          </w:p>
        </w:tc>
        <w:tc>
          <w:tcPr>
            <w:tcW w:w="8152" w:type="dxa"/>
            <w:noWrap w:val="0"/>
            <w:vAlign w:val="center"/>
          </w:tcPr>
          <w:p>
            <w:pPr>
              <w:spacing w:line="360" w:lineRule="auto"/>
              <w:ind w:firstLine="480" w:firstLineChars="0"/>
              <w:jc w:val="both"/>
              <w:rPr>
                <w:rFonts w:hint="eastAsia" w:ascii="仿宋" w:hAnsi="仿宋" w:eastAsia="仿宋" w:cs="仿宋"/>
                <w:b/>
                <w:bCs/>
                <w:color w:val="000000" w:themeColor="text1"/>
                <w:kern w:val="0"/>
                <w:sz w:val="24"/>
                <w:szCs w:val="24"/>
                <w:lang w:val="en-US" w:eastAsia="zh-CN"/>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1、开关站布置方案比选</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根据技术发展及工程经验，目前开关站主要由普通布置、预制舱布置与混合布置三种方案，结合本工程附图《电气主接线》方案，开关站电气设备布置比选如下：</w:t>
            </w:r>
          </w:p>
          <w:p>
            <w:pPr>
              <w:pStyle w:val="10"/>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方案一：全预制舱方案</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35kV配电装置布置于预制舱一层，预制舱一层规划独立中控室；35kV开关柜单列布置。继电保护设备、通信设备、直流配电屏、400V开关柜等布置于预制舱二层继电保护室；400V开关柜单列布置；预制舱二层规划独立工具间。</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SVG动态无功补偿装置布置于生产区无功补偿装置场地，控制柜及功率模块等布置于SVG预制舱内，隔离开关、电抗器等户外布置于室外无功补偿装置场地。</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开关站站设置1套25米高的避雷针，开关站设回车平台，作为设备运输、巡视、消防的通道。</w:t>
            </w:r>
          </w:p>
          <w:p>
            <w:pPr>
              <w:pStyle w:val="10"/>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方案二：常规布置方案</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35kV配电装置布置于35kV配电室，生产楼一层规划独立中控室；35kV开关柜单列布置。继电保护设备、通信设备、直流配电屏、400V开关柜等布置于生产楼二层继电保护室；400V开关柜单列布置；生产楼二层规划独立工具间。</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SVG动态无功补偿装置布置于生产区无功补偿装置场地，控制柜及功率模块等布置于SVG预制舱内，隔离开关、电抗器等户外布置于室外无功补偿装置场地。</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开关站站设置1套25米高的避雷针，开关站设回车平台，作为设备运输、巡视、消防的通道。</w:t>
            </w:r>
          </w:p>
          <w:p>
            <w:pPr>
              <w:pStyle w:val="65"/>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042535" cy="4409440"/>
                  <wp:effectExtent l="0" t="0" r="571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042535" cy="4409440"/>
                          </a:xfrm>
                          <a:prstGeom prst="rect">
                            <a:avLst/>
                          </a:prstGeom>
                          <a:noFill/>
                          <a:ln>
                            <a:noFill/>
                          </a:ln>
                        </pic:spPr>
                      </pic:pic>
                    </a:graphicData>
                  </a:graphic>
                </wp:inline>
              </w:drawing>
            </w:r>
          </w:p>
          <w:p>
            <w:pPr>
              <w:pStyle w:val="66"/>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图2-2开关站平面布置图</w:t>
            </w:r>
          </w:p>
          <w:p>
            <w:pPr>
              <w:pStyle w:val="10"/>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方案分析比较</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关站两种布置方案技术均可行。综合比较分析，方案一生产区采用全预制舱方案，全站占地面积44x38m（1672㎡），方案二采用常规建筑物方案，全站占地面积44x38m（1672㎡）。两个方案的电气设备布置方案均可行，均能满足本项目规划要求。两个方案占地面积一致，方案二相较于方案一，将方案一中预制舱更改为建筑物。</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方案一采用预制舱方案，只需现场施工舱体基础，待满足吊装条件后吊装舱体固定即可，无需像常规方案浇筑上层结构再等待混凝土养护期满后拆模砌墙体等繁琐工序。较大的缩短了建设工期，同时节约了一定建设成本。方案一的主要设备均布置于预制舱内，空间较为狭小，现场运维作业较为不便。</w:t>
            </w:r>
          </w:p>
          <w:p>
            <w:pPr>
              <w:pStyle w:val="10"/>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方案二为传统开关站布置，生产区主体结构为钢筋混凝土，现场生活与运维条件较好。方案二的建筑物主体结构费用较方案一全预制舱结构费用偏高，同时现场施工工序繁琐、施工周期较长。</w:t>
            </w:r>
          </w:p>
          <w:p>
            <w:pPr>
              <w:pStyle w:val="10"/>
              <w:spacing w:line="360" w:lineRule="auto"/>
              <w:ind w:firstLine="480"/>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综上所述，考虑项目建设区域用地条件，兼顾后期少人运维值守，本期工程应尽可能减少开关站占地面积，降低现场运维工作量，减少对现场运维人员的需求。考虑本工程所处地区四季温和、干湿分明的情况，为保证电气设备在此环境能可靠运行，本次初步设计推荐方案一，即全预制舱开关站布置方案作为开关站电气设备总平面布置方案。</w:t>
            </w:r>
          </w:p>
        </w:tc>
      </w:tr>
    </w:tbl>
    <w:p>
      <w:pPr>
        <w:pStyle w:val="21"/>
        <w:jc w:val="center"/>
        <w:outlineLvl w:val="0"/>
        <w:rPr>
          <w:rFonts w:ascii="黑体" w:hAnsi="黑体" w:eastAsia="黑体"/>
          <w:snapToGrid w:val="0"/>
          <w:color w:val="000000" w:themeColor="text1"/>
          <w:sz w:val="30"/>
          <w:szCs w:val="30"/>
          <w14:textFill>
            <w14:solidFill>
              <w14:schemeClr w14:val="tx1"/>
            </w14:solidFill>
          </w14:textFill>
        </w:rPr>
      </w:pPr>
      <w:r>
        <w:rPr>
          <w:rFonts w:eastAsia="仿宋_GB2312"/>
          <w:b/>
          <w:bCs/>
          <w:color w:val="000000" w:themeColor="text1"/>
          <w14:textFill>
            <w14:solidFill>
              <w14:schemeClr w14:val="tx1"/>
            </w14:solidFill>
          </w14:textFill>
        </w:rPr>
        <w:br w:type="page"/>
      </w:r>
      <w:bookmarkStart w:id="17" w:name="_Toc31883"/>
      <w:r>
        <w:rPr>
          <w:rFonts w:hint="eastAsia" w:ascii="黑体" w:hAnsi="黑体" w:eastAsia="黑体"/>
          <w:snapToGrid w:val="0"/>
          <w:color w:val="000000" w:themeColor="text1"/>
          <w:sz w:val="30"/>
          <w:szCs w:val="30"/>
          <w14:textFill>
            <w14:solidFill>
              <w14:schemeClr w14:val="tx1"/>
            </w14:solidFill>
          </w14:textFill>
        </w:rPr>
        <w:t>三、生态环境现状、保护目标及评价标准</w:t>
      </w:r>
      <w:bookmarkEnd w:id="17"/>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0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生态环境现状</w:t>
            </w:r>
          </w:p>
        </w:tc>
        <w:tc>
          <w:tcPr>
            <w:tcW w:w="8340" w:type="dxa"/>
            <w:noWrap w:val="0"/>
            <w:vAlign w:val="center"/>
          </w:tcPr>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1、生态环境质量现状</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1.1调查及评价方法</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1.1.1、</w:t>
            </w:r>
            <w:r>
              <w:rPr>
                <w:rFonts w:hint="eastAsia" w:ascii="仿宋" w:hAnsi="仿宋" w:eastAsia="仿宋" w:cs="仿宋"/>
                <w:b/>
                <w:bCs/>
                <w:color w:val="000000" w:themeColor="text1"/>
                <w:sz w:val="24"/>
                <w:szCs w:val="24"/>
                <w14:textFill>
                  <w14:solidFill>
                    <w14:schemeClr w14:val="tx1"/>
                  </w14:solidFill>
                </w14:textFill>
              </w:rPr>
              <w:t>调查范围</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依据《环境影响评价技术导则 生态影响》（HJ19-2022）、《全国生态状况调查评估技术规范 — 项目尺度生态影响评估》（HJ1175—2021）相关要求，生态评价需覆盖项目全部活动的直接、间接影响区域，一般项目生态评估范围应包含主体及附属工程、直接干扰区，并向外延伸不少于500m。</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结合本项目行业特性、施工及运营期生态影响特征，项目总占地面积 48485.72m²，含永久占地3825.13m²、临时用地44660.59m²。最终确定生态评价范围：风电机组、箱变、开关站及施工临时用地外围扩500m；新建及改扩建道路沿线外扩300m。</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1.1.2、</w:t>
            </w:r>
            <w:r>
              <w:rPr>
                <w:rFonts w:hint="eastAsia" w:ascii="仿宋" w:hAnsi="仿宋" w:eastAsia="仿宋" w:cs="仿宋"/>
                <w:b/>
                <w:bCs/>
                <w:color w:val="000000" w:themeColor="text1"/>
                <w:sz w:val="24"/>
                <w:szCs w:val="24"/>
                <w14:textFill>
                  <w14:solidFill>
                    <w14:schemeClr w14:val="tx1"/>
                  </w14:solidFill>
                </w14:textFill>
              </w:rPr>
              <w:t>调查</w:t>
            </w:r>
            <w:r>
              <w:rPr>
                <w:rFonts w:hint="eastAsia" w:ascii="仿宋" w:hAnsi="仿宋" w:eastAsia="仿宋" w:cs="仿宋"/>
                <w:b/>
                <w:bCs/>
                <w:color w:val="000000" w:themeColor="text1"/>
                <w:sz w:val="24"/>
                <w:szCs w:val="24"/>
                <w:lang w:val="en-US" w:eastAsia="zh-CN"/>
                <w14:textFill>
                  <w14:solidFill>
                    <w14:schemeClr w14:val="tx1"/>
                  </w14:solidFill>
                </w14:textFill>
              </w:rPr>
              <w:t>内容及方法</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一、</w:t>
            </w:r>
            <w:r>
              <w:rPr>
                <w:rFonts w:hint="eastAsia" w:ascii="仿宋" w:hAnsi="仿宋" w:eastAsia="仿宋" w:cs="仿宋"/>
                <w:b/>
                <w:bCs/>
                <w:color w:val="000000" w:themeColor="text1"/>
                <w:sz w:val="24"/>
                <w:szCs w:val="24"/>
                <w14:textFill>
                  <w14:solidFill>
                    <w14:schemeClr w14:val="tx1"/>
                  </w14:solidFill>
                </w14:textFill>
              </w:rPr>
              <w:t>调查内容</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项目现状调查以收集有效资料为核心，结合必要的现场校核、实地走访开展工作。采用定性描述结合面积、占比等定量指标，重点分析评价范围内土地利用、植被、野生动植物等生态现状，并编制土地利用现状图等相关图件。本次生态现状评价以资料收集为主，辅以现场实地调查与走访核查。</w:t>
            </w:r>
          </w:p>
          <w:p>
            <w:pPr>
              <w:autoSpaceDE w:val="0"/>
              <w:autoSpaceDN w:val="0"/>
              <w:adjustRightInd w:val="0"/>
              <w:snapToGrid w:val="0"/>
              <w:spacing w:line="360" w:lineRule="auto"/>
              <w:ind w:firstLine="482" w:firstLineChars="20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lang w:eastAsia="zh-CN"/>
                <w14:textFill>
                  <w14:solidFill>
                    <w14:schemeClr w14:val="tx1"/>
                  </w14:solidFill>
                </w14:textFill>
              </w:rPr>
              <w:t>二</w:t>
            </w:r>
            <w:r>
              <w:rPr>
                <w:rFonts w:hint="eastAsia" w:ascii="仿宋" w:hAnsi="仿宋" w:eastAsia="仿宋" w:cs="仿宋"/>
                <w:b/>
                <w:bCs/>
                <w:color w:val="000000" w:themeColor="text1"/>
                <w:sz w:val="24"/>
                <w14:textFill>
                  <w14:solidFill>
                    <w14:schemeClr w14:val="tx1"/>
                  </w14:solidFill>
                </w14:textFill>
              </w:rPr>
              <w:t>、调查方法、调查单位及调查时间</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（1）植物植被调查方法</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植被、植物的调查主要采用线路调查法，沿现有道路调查评价区范围内的植被及植物分布情况，记录沿途目力范围内发现的植被类型和植物种类，重点关注评价区内的古树名木、保护植物、地方特有种。由于本项目不设置生态专项评价，因此现状调查主要以收集有效的资料为主。区域生态环境现状主要通过查阅文献资料所得，资料来源为《云南植被》、《中国植被》以及区域重大工程环评生态现状调查资料。</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（2）陆栖脊椎动物调查方法</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陆栖脊椎动物调查以野外现场调查、访问调查和查阅文献资料相结合的方式进行。文献资料主要为《云南鸟类名录》、《云南两栖爬行动物》、《云南两栖类志》等记载的该区的各类群动物。同时，根据国家重点保护野生动物名录、云南省重点保护野生动物名录（2023）、中国生物多样性红色名录脊椎动物卷（2020）确定动物的特有种和保护物种。</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（3）调查单位及时间</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本次生态环境质量现状调查由云南泽天环境科技有限公司组织实施，编写组成员于2026年3月20日对项目区及周边500m范围开展现场踏勘工作。调查采用资料收集整理、专家咨询及线路法相结合的调查方法，确保调查数据的科学性、准确性与全面性。</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本次现场踏勘及现状调查的人员及专业背景如下：</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王放（项目负责人）：环境影响评价工程师，具备10年以上环评工作经验，主导过多项生态环境影响类项目生态环境现状调查与评价工作，熟悉区域生态系统特征及熟悉环评报告编制流程及相关技术要求；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1.1.3、环境现状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根据现场调查及资料查询，项目区生态环境现状如下：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①项目区土地利用现状</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 xml:space="preserve">该项目经弥渡县发展和改革局会同同级水务、环保、林业、交通运输、文化旅游、农业农村、住建等部门审核，莲峰村项目选址范围内不涉及自然遗产地、国家公园、自然保护区、森林公园、湿地公园、地质公园、风景名胜区等自然保护地，不涉及鸟类主要迁徙通道和迁徙地、野生动物重要栖息地和迁徙洄游通道、国有林场和重点国有林区、基本草原、国家级和省级公益林、湿地、天然乔木林(竹林)地、年降雨量400毫米以下区域的有林地等重要地区范围。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根据2025年12月10日弥渡县林业和草原局《关于莲峰村项目选址意见的复函》（详见附件）本项目选址范围内涉及1个开关站、4个风机、4个箱变，面积0.5382公顷，其中：交通运输用地0.0153公顷；林地0.5229公顷（人工乔木林地，重点商品林，林地保护等级为</w:t>
            </w: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Ⅲ</w:t>
            </w:r>
            <w:r>
              <w:rPr>
                <w:rFonts w:hint="eastAsia" w:ascii="仿宋" w:hAnsi="仿宋" w:eastAsia="仿宋" w:cs="仿宋"/>
                <w:color w:val="000000" w:themeColor="text1"/>
                <w:kern w:val="0"/>
                <w:sz w:val="24"/>
                <w:szCs w:val="24"/>
                <w:lang w:val="en-US" w:eastAsia="zh-CN"/>
                <w14:textFill>
                  <w14:solidFill>
                    <w14:schemeClr w14:val="tx1"/>
                  </w14:solidFill>
                </w14:textFill>
              </w:rPr>
              <w:t>级），在林地面积中涉及乔木林平均单位面积蓄积量超过弥渡县乔木林平均单位面积蓄积量150%的林地0.4207公顷</w:t>
            </w:r>
            <w:r>
              <w:rPr>
                <w:rFonts w:hint="default" w:ascii="仿宋" w:hAnsi="仿宋" w:eastAsia="仿宋" w:cs="仿宋"/>
                <w:color w:val="000000" w:themeColor="text1"/>
                <w:kern w:val="0"/>
                <w:sz w:val="24"/>
                <w:szCs w:val="24"/>
                <w:lang w:val="en-US" w:eastAsia="zh-CN"/>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项目占地不涉及永久基本农田、耕地、国家及地方公益林，项目占地类型具体如下所示：</w:t>
            </w:r>
          </w:p>
          <w:p>
            <w:pPr>
              <w:pStyle w:val="5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eastAsia"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 xml:space="preserve">  本工程占用土地利用类型情况表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106"/>
              <w:gridCol w:w="1037"/>
              <w:gridCol w:w="980"/>
              <w:gridCol w:w="1055"/>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7" w:type="pct"/>
                  <w:gridSpan w:val="2"/>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工程占地类型</w:t>
                  </w:r>
                </w:p>
              </w:tc>
              <w:tc>
                <w:tcPr>
                  <w:tcW w:w="1350" w:type="pct"/>
                  <w:gridSpan w:val="2"/>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永久</w:t>
                  </w:r>
                  <w:r>
                    <w:rPr>
                      <w:rFonts w:hint="eastAsia" w:ascii="仿宋" w:hAnsi="仿宋" w:eastAsia="仿宋" w:cs="仿宋"/>
                      <w:color w:val="000000" w:themeColor="text1"/>
                      <w:sz w:val="21"/>
                      <w:szCs w:val="21"/>
                      <w14:textFill>
                        <w14:solidFill>
                          <w14:schemeClr w14:val="tx1"/>
                        </w14:solidFill>
                      </w14:textFill>
                    </w:rPr>
                    <w:t>占地</w:t>
                  </w:r>
                </w:p>
              </w:tc>
              <w:tc>
                <w:tcPr>
                  <w:tcW w:w="1361" w:type="pct"/>
                  <w:gridSpan w:val="2"/>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9"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一级类</w:t>
                  </w:r>
                </w:p>
              </w:tc>
              <w:tc>
                <w:tcPr>
                  <w:tcW w:w="1267"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二级类</w:t>
                  </w:r>
                </w:p>
              </w:tc>
              <w:tc>
                <w:tcPr>
                  <w:tcW w:w="69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面积（公顷）</w:t>
                  </w:r>
                </w:p>
              </w:tc>
              <w:tc>
                <w:tcPr>
                  <w:tcW w:w="65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占比（%）</w:t>
                  </w:r>
                </w:p>
              </w:tc>
              <w:tc>
                <w:tcPr>
                  <w:tcW w:w="7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面积（公顷）</w:t>
                  </w:r>
                </w:p>
              </w:tc>
              <w:tc>
                <w:tcPr>
                  <w:tcW w:w="65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vMerge w:val="restar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03林地</w:t>
                  </w:r>
                </w:p>
              </w:tc>
              <w:tc>
                <w:tcPr>
                  <w:tcW w:w="1267" w:type="pc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0301乔木林地</w:t>
                  </w:r>
                </w:p>
              </w:tc>
              <w:tc>
                <w:tcPr>
                  <w:tcW w:w="103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0"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55"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vMerge w:val="continue"/>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p>
              </w:tc>
              <w:tc>
                <w:tcPr>
                  <w:tcW w:w="1267"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0305灌木林地</w:t>
                  </w:r>
                </w:p>
              </w:tc>
              <w:tc>
                <w:tcPr>
                  <w:tcW w:w="103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0"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55"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10交通运输用地</w:t>
                  </w:r>
                </w:p>
              </w:tc>
              <w:tc>
                <w:tcPr>
                  <w:tcW w:w="1267" w:type="pct"/>
                  <w:noWrap/>
                  <w:vAlign w:val="center"/>
                </w:tcPr>
                <w:p>
                  <w:pPr>
                    <w:pStyle w:val="58"/>
                    <w:bidi w:val="0"/>
                    <w:rPr>
                      <w:rFonts w:hint="eastAsia"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1004城镇村道路用地</w:t>
                  </w:r>
                </w:p>
              </w:tc>
              <w:tc>
                <w:tcPr>
                  <w:tcW w:w="103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0"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55"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7" w:type="pct"/>
                  <w:gridSpan w:val="2"/>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总计</w:t>
                  </w:r>
                </w:p>
              </w:tc>
              <w:tc>
                <w:tcPr>
                  <w:tcW w:w="1037"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0"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55"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8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default" w:ascii="Calibri" w:hAnsi="Calibri" w:eastAsia="仿宋" w:cs="Calibri"/>
                <w:b/>
                <w:bCs/>
                <w:color w:val="000000" w:themeColor="text1"/>
                <w:sz w:val="24"/>
                <w:szCs w:val="24"/>
                <w:lang w:val="en-US" w:eastAsia="zh-CN"/>
                <w14:textFill>
                  <w14:solidFill>
                    <w14:schemeClr w14:val="tx1"/>
                  </w14:solidFill>
                </w14:textFill>
              </w:rPr>
              <w:t>②</w:t>
            </w:r>
            <w:r>
              <w:rPr>
                <w:rFonts w:hint="eastAsia" w:ascii="仿宋" w:hAnsi="仿宋" w:eastAsia="仿宋" w:cs="仿宋"/>
                <w:b/>
                <w:bCs/>
                <w:color w:val="000000" w:themeColor="text1"/>
                <w:sz w:val="24"/>
                <w:szCs w:val="24"/>
                <w:lang w:val="en-US" w:eastAsia="zh-CN"/>
                <w14:textFill>
                  <w14:solidFill>
                    <w14:schemeClr w14:val="tx1"/>
                  </w14:solidFill>
                </w14:textFill>
              </w:rPr>
              <w:t>评价区土地利用现状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本次评价区土地利用现状，结合部门审核意见、专项调查资料及附图11《本项目土地利用现状图》综合判定，具体情况如下：</w:t>
            </w:r>
          </w:p>
          <w:p>
            <w:pPr>
              <w:bidi w:val="0"/>
              <w:spacing w:line="360" w:lineRule="auto"/>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本次评价区范围内土地利用现状均为林地，无其他土地利用类型分布。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default" w:ascii="Calibri" w:hAnsi="Calibri" w:eastAsia="仿宋" w:cs="Calibri"/>
                <w:b/>
                <w:bCs/>
                <w:color w:val="000000" w:themeColor="text1"/>
                <w:sz w:val="24"/>
                <w:szCs w:val="24"/>
                <w:lang w:val="en-US" w:eastAsia="zh-CN"/>
                <w14:textFill>
                  <w14:solidFill>
                    <w14:schemeClr w14:val="tx1"/>
                  </w14:solidFill>
                </w14:textFill>
              </w:rPr>
              <w:t>③</w:t>
            </w:r>
            <w:r>
              <w:rPr>
                <w:rFonts w:hint="eastAsia" w:ascii="仿宋" w:hAnsi="仿宋" w:eastAsia="仿宋" w:cs="仿宋"/>
                <w:b/>
                <w:bCs/>
                <w:color w:val="000000" w:themeColor="text1"/>
                <w:sz w:val="24"/>
                <w:szCs w:val="24"/>
                <w:lang w:val="en-US" w:eastAsia="zh-CN"/>
                <w14:textFill>
                  <w14:solidFill>
                    <w14:schemeClr w14:val="tx1"/>
                  </w14:solidFill>
                </w14:textFill>
              </w:rPr>
              <w:t>植被现状评价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bookmarkStart w:id="18" w:name="OLE_LINK4"/>
            <w:r>
              <w:rPr>
                <w:rFonts w:hint="eastAsia" w:ascii="仿宋" w:hAnsi="仿宋" w:eastAsia="仿宋" w:cs="仿宋"/>
                <w:color w:val="000000" w:themeColor="text1"/>
                <w:sz w:val="24"/>
                <w:szCs w:val="24"/>
                <w:lang w:val="en-US" w:eastAsia="zh-CN"/>
                <w14:textFill>
                  <w14:solidFill>
                    <w14:schemeClr w14:val="tx1"/>
                  </w14:solidFill>
                </w14:textFill>
              </w:rPr>
              <w:t xml:space="preserve">（一）评价区植被现状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 xml:space="preserve">）主要植被类型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项目位于云南省密祉镇莲峰村东侧的老鸦山，依据《云南植被》</w:t>
            </w:r>
            <w:r>
              <w:rPr>
                <w:rFonts w:hint="default"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吴征镒等，</w:t>
            </w:r>
            <w:r>
              <w:rPr>
                <w:rFonts w:hint="default" w:ascii="仿宋" w:hAnsi="仿宋" w:eastAsia="仿宋" w:cs="仿宋"/>
                <w:color w:val="000000" w:themeColor="text1"/>
                <w:sz w:val="24"/>
                <w:szCs w:val="24"/>
                <w:lang w:val="en-US" w:eastAsia="zh-CN"/>
                <w14:textFill>
                  <w14:solidFill>
                    <w14:schemeClr w14:val="tx1"/>
                  </w14:solidFill>
                </w14:textFill>
              </w:rPr>
              <w:t>1987)</w:t>
            </w:r>
            <w:r>
              <w:rPr>
                <w:rFonts w:hint="eastAsia" w:ascii="仿宋" w:hAnsi="仿宋" w:eastAsia="仿宋" w:cs="仿宋"/>
                <w:color w:val="000000" w:themeColor="text1"/>
                <w:sz w:val="24"/>
                <w:szCs w:val="24"/>
                <w:lang w:val="en-US" w:eastAsia="zh-CN"/>
                <w14:textFill>
                  <w14:solidFill>
                    <w14:schemeClr w14:val="tx1"/>
                  </w14:solidFill>
                </w14:textFill>
              </w:rPr>
              <w:t>的植被分区、植被分类系统及其植被分布的描述，评价区属于</w:t>
            </w:r>
            <w:r>
              <w:rPr>
                <w:rFonts w:hint="default" w:ascii="仿宋" w:hAnsi="仿宋" w:eastAsia="仿宋" w:cs="仿宋"/>
                <w:color w:val="000000" w:themeColor="text1"/>
                <w:sz w:val="24"/>
                <w:szCs w:val="24"/>
                <w:lang w:val="en-US" w:eastAsia="zh-CN"/>
                <w14:textFill>
                  <w14:solidFill>
                    <w14:schemeClr w14:val="tx1"/>
                  </w14:solidFill>
                </w14:textFill>
              </w:rPr>
              <w:t>IIAii</w:t>
            </w:r>
            <w:r>
              <w:rPr>
                <w:rFonts w:hint="eastAsia" w:ascii="仿宋" w:hAnsi="仿宋" w:eastAsia="仿宋" w:cs="仿宋"/>
                <w:color w:val="000000" w:themeColor="text1"/>
                <w:sz w:val="24"/>
                <w:szCs w:val="24"/>
                <w:lang w:val="en-US" w:eastAsia="zh-CN"/>
                <w14:textFill>
                  <w14:solidFill>
                    <w14:schemeClr w14:val="tx1"/>
                  </w14:solidFill>
                </w14:textFill>
              </w:rPr>
              <w:t>高原亚热带北部常绿阔叶林地带，</w:t>
            </w:r>
            <w:r>
              <w:rPr>
                <w:rFonts w:hint="default" w:ascii="仿宋" w:hAnsi="仿宋" w:eastAsia="仿宋" w:cs="仿宋"/>
                <w:color w:val="000000" w:themeColor="text1"/>
                <w:sz w:val="24"/>
                <w:szCs w:val="24"/>
                <w:lang w:val="en-US" w:eastAsia="zh-CN"/>
                <w14:textFill>
                  <w14:solidFill>
                    <w14:schemeClr w14:val="tx1"/>
                  </w14:solidFill>
                </w14:textFill>
              </w:rPr>
              <w:t>IIAii-2</w:t>
            </w:r>
            <w:r>
              <w:rPr>
                <w:rFonts w:hint="eastAsia" w:ascii="仿宋" w:hAnsi="仿宋" w:eastAsia="仿宋" w:cs="仿宋"/>
                <w:color w:val="000000" w:themeColor="text1"/>
                <w:sz w:val="24"/>
                <w:szCs w:val="24"/>
                <w:lang w:val="en-US" w:eastAsia="zh-CN"/>
                <w14:textFill>
                  <w14:solidFill>
                    <w14:schemeClr w14:val="tx1"/>
                  </w14:solidFill>
                </w14:textFill>
              </w:rPr>
              <w:t>滇西横断山半湿润常绿阔叶林区，</w:t>
            </w:r>
            <w:r>
              <w:rPr>
                <w:rFonts w:hint="default" w:ascii="仿宋" w:hAnsi="仿宋" w:eastAsia="仿宋" w:cs="仿宋"/>
                <w:color w:val="000000" w:themeColor="text1"/>
                <w:sz w:val="24"/>
                <w:szCs w:val="24"/>
                <w:lang w:val="en-US" w:eastAsia="zh-CN"/>
                <w14:textFill>
                  <w14:solidFill>
                    <w14:schemeClr w14:val="tx1"/>
                  </w14:solidFill>
                </w14:textFill>
              </w:rPr>
              <w:t>IIAii-2c</w:t>
            </w:r>
            <w:r>
              <w:rPr>
                <w:rFonts w:hint="eastAsia" w:ascii="仿宋" w:hAnsi="仿宋" w:eastAsia="仿宋" w:cs="仿宋"/>
                <w:color w:val="000000" w:themeColor="text1"/>
                <w:sz w:val="24"/>
                <w:szCs w:val="24"/>
                <w:lang w:val="en-US" w:eastAsia="zh-CN"/>
                <w14:textFill>
                  <w14:solidFill>
                    <w14:schemeClr w14:val="tx1"/>
                  </w14:solidFill>
                </w14:textFill>
              </w:rPr>
              <w:t>滇西中山山原高山栲、石栎林、云南松林亚区。评价区地带性植被为半湿润常绿阔叶林及暖性针叶林。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根据实地调查，参考《中国植被》、《云南植被》等专著等，将评价区范围出现的陆生自然植被类型划分为</w:t>
            </w:r>
            <w:r>
              <w:rPr>
                <w:rFonts w:hint="default"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val="en-US" w:eastAsia="zh-CN"/>
                <w14:textFill>
                  <w14:solidFill>
                    <w14:schemeClr w14:val="tx1"/>
                  </w14:solidFill>
                </w14:textFill>
              </w:rPr>
              <w:t>个植被型，2个植被亚型，3个群系。具体类型见表</w:t>
            </w:r>
            <w:r>
              <w:rPr>
                <w:rFonts w:hint="default"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lang w:val="en-US" w:eastAsia="zh-CN"/>
                <w14:textFill>
                  <w14:solidFill>
                    <w14:schemeClr w14:val="tx1"/>
                  </w14:solidFill>
                </w14:textFill>
              </w:rPr>
              <w:t>2。</w:t>
            </w:r>
          </w:p>
          <w:p>
            <w:pPr>
              <w:keepNext w:val="0"/>
              <w:keepLines w:val="0"/>
              <w:widowControl/>
              <w:suppressLineNumbers w:val="0"/>
              <w:jc w:val="center"/>
              <w:rPr>
                <w:rFonts w:hint="eastAsia" w:ascii="仿宋" w:hAnsi="仿宋" w:eastAsia="仿宋" w:cs="仿宋"/>
                <w:b/>
                <w:bCs/>
                <w:color w:val="000000" w:themeColor="text1"/>
                <w:kern w:val="0"/>
                <w:sz w:val="21"/>
                <w:szCs w:val="21"/>
                <w:lang w:val="en-US" w:eastAsia="zh-CN" w:bidi="ar"/>
                <w14:textFill>
                  <w14:solidFill>
                    <w14:schemeClr w14:val="tx1"/>
                  </w14:solidFill>
                </w14:textFill>
              </w:rPr>
            </w:pPr>
            <w:r>
              <w:rPr>
                <w:rFonts w:hint="eastAsia" w:ascii="仿宋" w:hAnsi="仿宋" w:eastAsia="仿宋" w:cs="仿宋"/>
                <w:b/>
                <w:bCs/>
                <w:color w:val="000000" w:themeColor="text1"/>
                <w:kern w:val="0"/>
                <w:sz w:val="21"/>
                <w:szCs w:val="21"/>
                <w:lang w:val="en-US" w:eastAsia="zh-CN" w:bidi="ar"/>
                <w14:textFill>
                  <w14:solidFill>
                    <w14:schemeClr w14:val="tx1"/>
                  </w14:solidFill>
                </w14:textFill>
              </w:rPr>
              <w:t xml:space="preserve">表 </w:t>
            </w:r>
            <w:r>
              <w:rPr>
                <w:rFonts w:hint="default" w:ascii="仿宋" w:hAnsi="仿宋" w:eastAsia="仿宋" w:cs="仿宋"/>
                <w:b/>
                <w:bCs/>
                <w:color w:val="000000" w:themeColor="text1"/>
                <w:kern w:val="0"/>
                <w:sz w:val="21"/>
                <w:szCs w:val="21"/>
                <w:lang w:val="en-US" w:eastAsia="zh-CN" w:bidi="ar"/>
                <w14:textFill>
                  <w14:solidFill>
                    <w14:schemeClr w14:val="tx1"/>
                  </w14:solidFill>
                </w14:textFill>
              </w:rPr>
              <w:t>3-</w:t>
            </w:r>
            <w:r>
              <w:rPr>
                <w:rFonts w:hint="eastAsia" w:ascii="仿宋" w:hAnsi="仿宋" w:eastAsia="仿宋" w:cs="仿宋"/>
                <w:b/>
                <w:bCs/>
                <w:color w:val="000000" w:themeColor="text1"/>
                <w:kern w:val="0"/>
                <w:sz w:val="21"/>
                <w:szCs w:val="21"/>
                <w:lang w:val="en-US" w:eastAsia="zh-CN" w:bidi="ar"/>
                <w14:textFill>
                  <w14:solidFill>
                    <w14:schemeClr w14:val="tx1"/>
                  </w14:solidFill>
                </w14:textFill>
              </w:rPr>
              <w:t>2评价区主要自然植被及人工植被</w:t>
            </w:r>
          </w:p>
          <w:tbl>
            <w:tblPr>
              <w:tblStyle w:val="25"/>
              <w:tblW w:w="8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4"/>
              <w:gridCol w:w="5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eastAsia" w:ascii="仿宋" w:hAnsi="仿宋" w:eastAsia="仿宋" w:cs="仿宋"/>
                      <w:color w:val="000000" w:themeColor="text1"/>
                      <w:kern w:val="0"/>
                      <w:szCs w:val="21"/>
                      <w:vertAlign w:val="baseline"/>
                      <w:lang w:eastAsia="zh-CN"/>
                      <w14:textFill>
                        <w14:solidFill>
                          <w14:schemeClr w14:val="tx1"/>
                        </w14:solidFill>
                      </w14:textFill>
                    </w:rPr>
                    <w:t>自然植被</w:t>
                  </w: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default" w:ascii="仿宋" w:hAnsi="仿宋" w:eastAsia="仿宋" w:cs="仿宋"/>
                      <w:color w:val="000000" w:themeColor="text1"/>
                      <w:kern w:val="0"/>
                      <w:szCs w:val="21"/>
                      <w:vertAlign w:val="baseline"/>
                      <w:lang w:val="en-US" w:eastAsia="zh-CN"/>
                      <w14:textFill>
                        <w14:solidFill>
                          <w14:schemeClr w14:val="tx1"/>
                        </w14:solidFill>
                      </w14:textFill>
                    </w:rPr>
                    <w:t>I.</w:t>
                  </w:r>
                  <w:r>
                    <w:rPr>
                      <w:rFonts w:hint="eastAsia" w:ascii="仿宋" w:hAnsi="仿宋" w:eastAsia="仿宋" w:cs="仿宋"/>
                      <w:color w:val="000000" w:themeColor="text1"/>
                      <w:kern w:val="0"/>
                      <w:szCs w:val="21"/>
                      <w:vertAlign w:val="baseline"/>
                      <w:lang w:val="en-US" w:eastAsia="zh-CN"/>
                      <w14:textFill>
                        <w14:solidFill>
                          <w14:schemeClr w14:val="tx1"/>
                        </w14:solidFill>
                      </w14:textFill>
                    </w:rPr>
                    <w:t>暖性针叶林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default" w:ascii="仿宋" w:hAnsi="仿宋" w:eastAsia="仿宋" w:cs="仿宋"/>
                      <w:color w:val="000000" w:themeColor="text1"/>
                      <w:kern w:val="0"/>
                      <w:szCs w:val="21"/>
                      <w:vertAlign w:val="baseline"/>
                      <w:lang w:val="en-US" w:eastAsia="zh-CN"/>
                      <w14:textFill>
                        <w14:solidFill>
                          <w14:schemeClr w14:val="tx1"/>
                        </w14:solidFill>
                      </w14:textFill>
                    </w:rPr>
                    <w:t xml:space="preserve">(I) </w:t>
                  </w:r>
                  <w:r>
                    <w:rPr>
                      <w:rFonts w:hint="eastAsia" w:ascii="仿宋" w:hAnsi="仿宋" w:eastAsia="仿宋" w:cs="仿宋"/>
                      <w:color w:val="000000" w:themeColor="text1"/>
                      <w:kern w:val="0"/>
                      <w:szCs w:val="21"/>
                      <w:vertAlign w:val="baseline"/>
                      <w:lang w:val="en-US" w:eastAsia="zh-CN"/>
                      <w14:textFill>
                        <w14:solidFill>
                          <w14:schemeClr w14:val="tx1"/>
                        </w14:solidFill>
                      </w14:textFill>
                    </w:rPr>
                    <w:t>暖温性针叶林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eastAsia" w:ascii="仿宋" w:hAnsi="仿宋" w:eastAsia="仿宋" w:cs="仿宋"/>
                      <w:color w:val="000000" w:themeColor="text1"/>
                      <w:kern w:val="0"/>
                      <w:szCs w:val="21"/>
                      <w:vertAlign w:val="baseline"/>
                      <w:lang w:val="en-US" w:eastAsia="zh-CN"/>
                      <w14:textFill>
                        <w14:solidFill>
                          <w14:schemeClr w14:val="tx1"/>
                        </w14:solidFill>
                      </w14:textFill>
                    </w:rPr>
                    <w:t>（一）云南松林</w:t>
                  </w:r>
                  <w:r>
                    <w:rPr>
                      <w:rFonts w:hint="default" w:ascii="仿宋" w:hAnsi="仿宋" w:eastAsia="仿宋" w:cs="仿宋"/>
                      <w:color w:val="000000" w:themeColor="text1"/>
                      <w:kern w:val="0"/>
                      <w:szCs w:val="21"/>
                      <w:vertAlign w:val="baseline"/>
                      <w:lang w:val="en-US" w:eastAsia="zh-CN"/>
                      <w14:textFill>
                        <w14:solidFill>
                          <w14:schemeClr w14:val="tx1"/>
                        </w14:solidFill>
                      </w14:textFill>
                    </w:rPr>
                    <w:t>(Form. Pinus yunnanensis)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default" w:ascii="仿宋" w:hAnsi="仿宋" w:eastAsia="仿宋" w:cs="仿宋"/>
                      <w:color w:val="000000" w:themeColor="text1"/>
                      <w:kern w:val="0"/>
                      <w:szCs w:val="21"/>
                      <w:vertAlign w:val="baseline"/>
                      <w:lang w:val="en-US" w:eastAsia="zh-CN"/>
                      <w14:textFill>
                        <w14:solidFill>
                          <w14:schemeClr w14:val="tx1"/>
                        </w14:solidFill>
                      </w14:textFill>
                    </w:rPr>
                    <w:t xml:space="preserve">II. </w:t>
                  </w:r>
                  <w:r>
                    <w:rPr>
                      <w:rFonts w:hint="eastAsia" w:ascii="仿宋" w:hAnsi="仿宋" w:eastAsia="仿宋" w:cs="仿宋"/>
                      <w:color w:val="000000" w:themeColor="text1"/>
                      <w:kern w:val="0"/>
                      <w:szCs w:val="21"/>
                      <w:vertAlign w:val="baseline"/>
                      <w:lang w:val="en-US" w:eastAsia="zh-CN"/>
                      <w14:textFill>
                        <w14:solidFill>
                          <w14:schemeClr w14:val="tx1"/>
                        </w14:solidFill>
                      </w14:textFill>
                    </w:rPr>
                    <w:t>灌丛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default" w:ascii="仿宋" w:hAnsi="仿宋" w:eastAsia="仿宋" w:cs="仿宋"/>
                      <w:color w:val="000000" w:themeColor="text1"/>
                      <w:kern w:val="0"/>
                      <w:szCs w:val="21"/>
                      <w:vertAlign w:val="baseline"/>
                      <w:lang w:val="en-US" w:eastAsia="zh-CN"/>
                      <w14:textFill>
                        <w14:solidFill>
                          <w14:schemeClr w14:val="tx1"/>
                        </w14:solidFill>
                      </w14:textFill>
                    </w:rPr>
                    <w:t>(I)</w:t>
                  </w:r>
                  <w:r>
                    <w:rPr>
                      <w:rFonts w:hint="eastAsia" w:ascii="仿宋" w:hAnsi="仿宋" w:eastAsia="仿宋" w:cs="仿宋"/>
                      <w:color w:val="000000" w:themeColor="text1"/>
                      <w:kern w:val="0"/>
                      <w:szCs w:val="21"/>
                      <w:vertAlign w:val="baseline"/>
                      <w:lang w:val="en-US" w:eastAsia="zh-CN"/>
                      <w14:textFill>
                        <w14:solidFill>
                          <w14:schemeClr w14:val="tx1"/>
                        </w14:solidFill>
                      </w14:textFill>
                    </w:rPr>
                    <w:t>半湿润常绿阔叶林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val="en-US"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Cs w:val="21"/>
                      <w:vertAlign w:val="baseline"/>
                      <w:lang w:val="en-US" w:eastAsia="zh-CN"/>
                      <w14:textFill>
                        <w14:solidFill>
                          <w14:schemeClr w14:val="tx1"/>
                        </w14:solidFill>
                      </w14:textFill>
                    </w:rPr>
                    <w:t>（一）锥连栎灌丛（Quercus franchetii）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val="en-US"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Cs w:val="21"/>
                      <w:vertAlign w:val="baseline"/>
                      <w:lang w:val="en-US" w:eastAsia="zh-CN"/>
                      <w14:textFill>
                        <w14:solidFill>
                          <w14:schemeClr w14:val="tx1"/>
                        </w14:solidFill>
                      </w14:textFill>
                    </w:rPr>
                    <w:t>（二）石栎 / 多变石栎灌丛（Lithocarpus spp.）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eastAsia" w:ascii="仿宋" w:hAnsi="仿宋" w:eastAsia="仿宋" w:cs="仿宋"/>
                      <w:color w:val="000000" w:themeColor="text1"/>
                      <w:kern w:val="0"/>
                      <w:szCs w:val="21"/>
                      <w:vertAlign w:val="baseline"/>
                      <w:lang w:eastAsia="zh-CN"/>
                      <w14:textFill>
                        <w14:solidFill>
                          <w14:schemeClr w14:val="tx1"/>
                        </w14:solidFill>
                      </w14:textFill>
                    </w:rPr>
                    <w:t>人工植被</w:t>
                  </w: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r>
                    <w:rPr>
                      <w:rFonts w:hint="default" w:ascii="仿宋" w:hAnsi="仿宋" w:eastAsia="仿宋" w:cs="仿宋"/>
                      <w:color w:val="000000" w:themeColor="text1"/>
                      <w:kern w:val="0"/>
                      <w:szCs w:val="21"/>
                      <w:vertAlign w:val="baseline"/>
                      <w:lang w:val="en-US" w:eastAsia="zh-CN"/>
                      <w14:textFill>
                        <w14:solidFill>
                          <w14:schemeClr w14:val="tx1"/>
                        </w14:solidFill>
                      </w14:textFill>
                    </w:rPr>
                    <w:t xml:space="preserve">(I) </w:t>
                  </w:r>
                  <w:r>
                    <w:rPr>
                      <w:rFonts w:hint="eastAsia" w:ascii="仿宋" w:hAnsi="仿宋" w:eastAsia="仿宋" w:cs="仿宋"/>
                      <w:color w:val="000000" w:themeColor="text1"/>
                      <w:kern w:val="0"/>
                      <w:szCs w:val="21"/>
                      <w:vertAlign w:val="baseline"/>
                      <w:lang w:val="en-US" w:eastAsia="zh-CN"/>
                      <w14:textFill>
                        <w14:solidFill>
                          <w14:schemeClr w14:val="tx1"/>
                        </w14:solidFill>
                      </w14:textFill>
                    </w:rPr>
                    <w:t>经济林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 w:val="21"/>
                      <w:szCs w:val="21"/>
                      <w:vertAlign w:val="baseline"/>
                      <w:lang w:val="en-US" w:eastAsia="zh-CN" w:bidi="ar-SA"/>
                      <w14:textFill>
                        <w14:solidFill>
                          <w14:schemeClr w14:val="tx1"/>
                        </w14:solidFill>
                      </w14:textFill>
                    </w:rPr>
                  </w:pPr>
                  <w:r>
                    <w:rPr>
                      <w:rFonts w:hint="eastAsia" w:ascii="仿宋" w:hAnsi="仿宋" w:eastAsia="仿宋" w:cs="仿宋"/>
                      <w:color w:val="000000" w:themeColor="text1"/>
                      <w:kern w:val="0"/>
                      <w:szCs w:val="21"/>
                      <w:vertAlign w:val="baseline"/>
                      <w:lang w:val="en-US" w:eastAsia="zh-CN"/>
                      <w14:textFill>
                        <w14:solidFill>
                          <w14:schemeClr w14:val="tx1"/>
                        </w14:solidFill>
                      </w14:textFill>
                    </w:rPr>
                    <w:t>（一）核桃林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Cs w:val="21"/>
                      <w:vertAlign w:val="baseline"/>
                      <w:lang w:eastAsia="zh-CN"/>
                      <w14:textFill>
                        <w14:solidFill>
                          <w14:schemeClr w14:val="tx1"/>
                        </w14:solidFill>
                      </w14:textFill>
                    </w:rPr>
                  </w:pPr>
                </w:p>
              </w:tc>
              <w:tc>
                <w:tcPr>
                  <w:tcW w:w="51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000000" w:themeColor="text1"/>
                      <w:kern w:val="0"/>
                      <w:sz w:val="21"/>
                      <w:szCs w:val="21"/>
                      <w:vertAlign w:val="baseline"/>
                      <w:lang w:val="en-US" w:eastAsia="zh-CN" w:bidi="ar-SA"/>
                      <w14:textFill>
                        <w14:solidFill>
                          <w14:schemeClr w14:val="tx1"/>
                        </w14:solidFill>
                      </w14:textFill>
                    </w:rPr>
                  </w:pPr>
                  <w:r>
                    <w:rPr>
                      <w:rFonts w:hint="eastAsia" w:ascii="仿宋" w:hAnsi="仿宋" w:eastAsia="仿宋" w:cs="仿宋"/>
                      <w:color w:val="000000" w:themeColor="text1"/>
                      <w:kern w:val="0"/>
                      <w:szCs w:val="21"/>
                      <w:vertAlign w:val="baseline"/>
                      <w:lang w:val="en-US" w:eastAsia="zh-CN"/>
                      <w14:textFill>
                        <w14:solidFill>
                          <w14:schemeClr w14:val="tx1"/>
                        </w14:solidFill>
                      </w14:textFill>
                    </w:rPr>
                    <w:t>（二）蓝桉林</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注：植被型：用</w:t>
            </w:r>
            <w:r>
              <w:rPr>
                <w:rFonts w:hint="default" w:ascii="仿宋" w:hAnsi="仿宋" w:eastAsia="仿宋" w:cs="仿宋"/>
                <w:color w:val="000000" w:themeColor="text1"/>
                <w:sz w:val="21"/>
                <w:szCs w:val="21"/>
                <w:lang w:val="en-US" w:eastAsia="zh-CN"/>
                <w14:textFill>
                  <w14:solidFill>
                    <w14:schemeClr w14:val="tx1"/>
                  </w14:solidFill>
                </w14:textFill>
              </w:rPr>
              <w:t>I</w:t>
            </w:r>
            <w:r>
              <w:rPr>
                <w:rFonts w:hint="eastAsia" w:ascii="仿宋" w:hAnsi="仿宋" w:eastAsia="仿宋" w:cs="仿宋"/>
                <w:color w:val="000000" w:themeColor="text1"/>
                <w:sz w:val="21"/>
                <w:szCs w:val="21"/>
                <w:lang w:val="en-US" w:eastAsia="zh-CN"/>
                <w14:textFill>
                  <w14:solidFill>
                    <w14:schemeClr w14:val="tx1"/>
                  </w14:solidFill>
                </w14:textFill>
              </w:rPr>
              <w:t>，</w:t>
            </w:r>
            <w:r>
              <w:rPr>
                <w:rFonts w:hint="default" w:ascii="仿宋" w:hAnsi="仿宋" w:eastAsia="仿宋" w:cs="仿宋"/>
                <w:color w:val="000000" w:themeColor="text1"/>
                <w:sz w:val="21"/>
                <w:szCs w:val="21"/>
                <w:lang w:val="en-US" w:eastAsia="zh-CN"/>
                <w14:textFill>
                  <w14:solidFill>
                    <w14:schemeClr w14:val="tx1"/>
                  </w14:solidFill>
                </w14:textFill>
              </w:rPr>
              <w:t>II</w:t>
            </w:r>
            <w:r>
              <w:rPr>
                <w:rFonts w:hint="eastAsia" w:ascii="仿宋" w:hAnsi="仿宋" w:eastAsia="仿宋" w:cs="仿宋"/>
                <w:color w:val="000000" w:themeColor="text1"/>
                <w:sz w:val="21"/>
                <w:szCs w:val="21"/>
                <w:lang w:val="en-US" w:eastAsia="zh-CN"/>
                <w14:textFill>
                  <w14:solidFill>
                    <w14:schemeClr w14:val="tx1"/>
                  </w14:solidFill>
                </w14:textFill>
              </w:rPr>
              <w:t>，</w:t>
            </w:r>
            <w:r>
              <w:rPr>
                <w:rFonts w:hint="default" w:ascii="仿宋" w:hAnsi="仿宋" w:eastAsia="仿宋" w:cs="仿宋"/>
                <w:color w:val="000000" w:themeColor="text1"/>
                <w:sz w:val="21"/>
                <w:szCs w:val="21"/>
                <w:lang w:val="en-US" w:eastAsia="zh-CN"/>
                <w14:textFill>
                  <w14:solidFill>
                    <w14:schemeClr w14:val="tx1"/>
                  </w14:solidFill>
                </w14:textFill>
              </w:rPr>
              <w:t>III</w:t>
            </w:r>
            <w:r>
              <w:rPr>
                <w:rFonts w:hint="eastAsia" w:ascii="仿宋" w:hAnsi="仿宋" w:eastAsia="仿宋" w:cs="仿宋"/>
                <w:color w:val="000000" w:themeColor="text1"/>
                <w:sz w:val="21"/>
                <w:szCs w:val="21"/>
                <w:lang w:val="en-US" w:eastAsia="zh-CN"/>
                <w14:textFill>
                  <w14:solidFill>
                    <w14:schemeClr w14:val="tx1"/>
                  </w14:solidFill>
                </w14:textFill>
              </w:rPr>
              <w:t>，</w:t>
            </w:r>
            <w:r>
              <w:rPr>
                <w:rFonts w:hint="default" w:ascii="仿宋" w:hAnsi="仿宋" w:eastAsia="仿宋" w:cs="仿宋"/>
                <w:color w:val="000000" w:themeColor="text1"/>
                <w:sz w:val="21"/>
                <w:szCs w:val="21"/>
                <w:lang w:val="en-US"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，数字后加</w:t>
            </w:r>
            <w:r>
              <w:rPr>
                <w:rFonts w:hint="default" w:ascii="仿宋" w:hAnsi="仿宋" w:eastAsia="仿宋" w:cs="仿宋"/>
                <w:color w:val="000000" w:themeColor="text1"/>
                <w:sz w:val="21"/>
                <w:szCs w:val="21"/>
                <w:lang w:val="en-US"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号；植被亚型：用</w:t>
            </w:r>
            <w:r>
              <w:rPr>
                <w:rFonts w:hint="default" w:ascii="仿宋" w:hAnsi="仿宋" w:eastAsia="仿宋" w:cs="仿宋"/>
                <w:color w:val="000000" w:themeColor="text1"/>
                <w:sz w:val="21"/>
                <w:szCs w:val="21"/>
                <w:lang w:val="en-US" w:eastAsia="zh-CN"/>
                <w14:textFill>
                  <w14:solidFill>
                    <w14:schemeClr w14:val="tx1"/>
                  </w14:solidFill>
                </w14:textFill>
              </w:rPr>
              <w:t>(I)</w:t>
            </w:r>
            <w:r>
              <w:rPr>
                <w:rFonts w:hint="eastAsia" w:ascii="仿宋" w:hAnsi="仿宋" w:eastAsia="仿宋" w:cs="仿宋"/>
                <w:color w:val="000000" w:themeColor="text1"/>
                <w:sz w:val="21"/>
                <w:szCs w:val="21"/>
                <w:lang w:val="en-US" w:eastAsia="zh-CN"/>
                <w14:textFill>
                  <w14:solidFill>
                    <w14:schemeClr w14:val="tx1"/>
                  </w14:solidFill>
                </w14:textFill>
              </w:rPr>
              <w:t>，</w:t>
            </w:r>
            <w:r>
              <w:rPr>
                <w:rFonts w:hint="default" w:ascii="仿宋" w:hAnsi="仿宋" w:eastAsia="仿宋" w:cs="仿宋"/>
                <w:color w:val="000000" w:themeColor="text1"/>
                <w:sz w:val="21"/>
                <w:szCs w:val="21"/>
                <w:lang w:val="en-US" w:eastAsia="zh-CN"/>
                <w14:textFill>
                  <w14:solidFill>
                    <w14:schemeClr w14:val="tx1"/>
                  </w14:solidFill>
                </w14:textFill>
              </w:rPr>
              <w:t>(II)</w:t>
            </w:r>
            <w:r>
              <w:rPr>
                <w:rFonts w:hint="eastAsia" w:ascii="仿宋" w:hAnsi="仿宋" w:eastAsia="仿宋" w:cs="仿宋"/>
                <w:color w:val="000000" w:themeColor="text1"/>
                <w:sz w:val="21"/>
                <w:szCs w:val="21"/>
                <w:lang w:val="en-US" w:eastAsia="zh-CN"/>
                <w14:textFill>
                  <w14:solidFill>
                    <w14:schemeClr w14:val="tx1"/>
                  </w14:solidFill>
                </w14:textFill>
              </w:rPr>
              <w:t>，</w:t>
            </w:r>
            <w:r>
              <w:rPr>
                <w:rFonts w:hint="default" w:ascii="仿宋" w:hAnsi="仿宋" w:eastAsia="仿宋" w:cs="仿宋"/>
                <w:color w:val="000000" w:themeColor="text1"/>
                <w:sz w:val="21"/>
                <w:szCs w:val="21"/>
                <w:lang w:val="en-US" w:eastAsia="zh-CN"/>
                <w14:textFill>
                  <w14:solidFill>
                    <w14:schemeClr w14:val="tx1"/>
                  </w14:solidFill>
                </w14:textFill>
              </w:rPr>
              <w:t xml:space="preserve">…… </w:t>
            </w:r>
            <w:r>
              <w:rPr>
                <w:rFonts w:hint="eastAsia" w:ascii="仿宋" w:hAnsi="仿宋" w:eastAsia="仿宋" w:cs="仿宋"/>
                <w:color w:val="000000" w:themeColor="text1"/>
                <w:sz w:val="21"/>
                <w:szCs w:val="21"/>
                <w:lang w:val="en-US" w:eastAsia="zh-CN"/>
                <w14:textFill>
                  <w14:solidFill>
                    <w14:schemeClr w14:val="tx1"/>
                  </w14:solidFill>
                </w14:textFill>
              </w:rPr>
              <w:t>，数字后不加符号；群系组：用一，二，三，</w:t>
            </w:r>
            <w:r>
              <w:rPr>
                <w:rFonts w:hint="default" w:ascii="仿宋" w:hAnsi="仿宋" w:eastAsia="仿宋" w:cs="仿宋"/>
                <w:color w:val="000000" w:themeColor="text1"/>
                <w:sz w:val="21"/>
                <w:szCs w:val="21"/>
                <w:lang w:val="en-US"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，数字后加</w:t>
            </w:r>
            <w:r>
              <w:rPr>
                <w:rFonts w:hint="default" w:ascii="仿宋" w:hAnsi="仿宋" w:eastAsia="仿宋" w:cs="仿宋"/>
                <w:color w:val="000000" w:themeColor="text1"/>
                <w:sz w:val="21"/>
                <w:szCs w:val="21"/>
                <w:lang w:val="en-US"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w:t>
            </w:r>
            <w:r>
              <w:rPr>
                <w:rFonts w:hint="default" w:ascii="仿宋" w:hAnsi="仿宋" w:eastAsia="仿宋" w:cs="仿宋"/>
                <w:color w:val="000000" w:themeColor="text1"/>
                <w:sz w:val="21"/>
                <w:szCs w:val="21"/>
                <w:lang w:val="en-US"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号；群系：用（一），（二），</w:t>
            </w:r>
            <w:r>
              <w:rPr>
                <w:rFonts w:hint="default" w:ascii="仿宋" w:hAnsi="仿宋" w:eastAsia="仿宋" w:cs="仿宋"/>
                <w:color w:val="000000" w:themeColor="text1"/>
                <w:sz w:val="21"/>
                <w:szCs w:val="21"/>
                <w:lang w:val="en-US" w:eastAsia="zh-CN"/>
                <w14:textFill>
                  <w14:solidFill>
                    <w14:schemeClr w14:val="tx1"/>
                  </w14:solidFill>
                </w14:textFill>
              </w:rPr>
              <w:t xml:space="preserve">…… </w:t>
            </w:r>
            <w:r>
              <w:rPr>
                <w:rFonts w:hint="eastAsia" w:ascii="仿宋" w:hAnsi="仿宋" w:eastAsia="仿宋" w:cs="仿宋"/>
                <w:color w:val="000000" w:themeColor="text1"/>
                <w:sz w:val="21"/>
                <w:szCs w:val="21"/>
                <w:lang w:val="en-US" w:eastAsia="zh-CN"/>
                <w14:textFill>
                  <w14:solidFill>
                    <w14:schemeClr w14:val="tx1"/>
                  </w14:solidFill>
                </w14:textFill>
              </w:rPr>
              <w:t>，数字后不加符号。</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②主要植被类型描述 </w:t>
            </w:r>
          </w:p>
          <w:p>
            <w:pPr>
              <w:autoSpaceDE w:val="0"/>
              <w:autoSpaceDN w:val="0"/>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A.自然植被</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a.暖温性针叶林</w:t>
            </w:r>
            <w:r>
              <w:rPr>
                <w:rFonts w:hint="eastAsia" w:ascii="仿宋" w:hAnsi="仿宋" w:eastAsia="仿宋" w:cs="仿宋"/>
                <w:color w:val="000000" w:themeColor="text1"/>
                <w:sz w:val="24"/>
                <w:lang w:val="en-US" w:eastAsia="zh-CN"/>
                <w14:textFill>
                  <w14:solidFill>
                    <w14:schemeClr w14:val="tx1"/>
                  </w14:solidFill>
                </w14:textFill>
              </w:rPr>
              <w:t>（云南松林）</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评价区云南松林为优势乔木群落，多分布于山体中上部，受放牧、砍柴、割草等人为活动影响，林下物种组成以耐旱、耐贫瘠的本土物种为主。群落结构分为乔木层、灌木层、草本层，总盖度 80%-90%：</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乔木层：以云南松（Pinus yunnanensis）为单优势种，树高8-14m，层盖度50%-70%；</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灌木层：与锥连栎灌丛交错分布，以锥连栎为优势种，伴生云南越桔、小叶栒子、椭圆悬钩子、豪猪刺、厚皮香等灌木，层高 1.0</w:t>
            </w:r>
            <w:r>
              <w:rPr>
                <w:rFonts w:hint="eastAsia" w:ascii="仿宋" w:hAnsi="仿宋" w:eastAsia="仿宋" w:cs="仿宋"/>
                <w:color w:val="000000" w:themeColor="text1"/>
                <w:sz w:val="24"/>
                <w14:textFill>
                  <w14:solidFill>
                    <w14:schemeClr w14:val="tx1"/>
                  </w14:solidFill>
                </w14:textFill>
              </w:rPr>
              <w:noBreakHyphen/>
            </w:r>
            <w:r>
              <w:rPr>
                <w:rFonts w:hint="eastAsia" w:ascii="仿宋" w:hAnsi="仿宋" w:eastAsia="仿宋" w:cs="仿宋"/>
                <w:color w:val="000000" w:themeColor="text1"/>
                <w:sz w:val="24"/>
                <w14:textFill>
                  <w14:solidFill>
                    <w14:schemeClr w14:val="tx1"/>
                  </w14:solidFill>
                </w14:textFill>
              </w:rPr>
              <w:t>2.5m，层盖度约60%；</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草本层：以羊耳菊、小蓬草、紫茎泽兰为优势，伴生其他耐旱草本，层盖度 40%</w:t>
            </w:r>
            <w:r>
              <w:rPr>
                <w:rFonts w:hint="eastAsia" w:ascii="仿宋" w:hAnsi="仿宋" w:eastAsia="仿宋" w:cs="仿宋"/>
                <w:color w:val="000000" w:themeColor="text1"/>
                <w:sz w:val="24"/>
                <w14:textFill>
                  <w14:solidFill>
                    <w14:schemeClr w14:val="tx1"/>
                  </w14:solidFill>
                </w14:textFill>
              </w:rPr>
              <w:noBreakHyphen/>
            </w:r>
            <w:r>
              <w:rPr>
                <w:rFonts w:hint="eastAsia" w:ascii="仿宋" w:hAnsi="仿宋" w:eastAsia="仿宋" w:cs="仿宋"/>
                <w:color w:val="000000" w:themeColor="text1"/>
                <w:sz w:val="24"/>
                <w14:textFill>
                  <w14:solidFill>
                    <w14:schemeClr w14:val="tx1"/>
                  </w14:solidFill>
                </w14:textFill>
              </w:rPr>
              <w:t>50%。</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w:t>
            </w:r>
            <w:r>
              <w:rPr>
                <w:rFonts w:hint="eastAsia" w:ascii="仿宋" w:hAnsi="仿宋" w:eastAsia="仿宋" w:cs="仿宋"/>
                <w:color w:val="000000" w:themeColor="text1"/>
                <w:sz w:val="24"/>
                <w:lang w:val="en-US" w:eastAsia="zh-CN"/>
                <w14:textFill>
                  <w14:solidFill>
                    <w14:schemeClr w14:val="tx1"/>
                  </w14:solidFill>
                </w14:textFill>
              </w:rPr>
              <w:t>半湿润常绿阔叶灌丛</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评价区灌丛以锥连栎灌丛、石栎灌丛为优势群系，多为原生植被受干扰后形成的次生类型，与云南松林交错分布，群落总盖度 60%-70%：</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灌木层：以锥连栎、多变石栎（Lithocarpus variolosus）为优势，伴生马桑、云南含笑、散页女贞、山乌桕、瑞香狼毒等，层高1.5</w:t>
            </w:r>
            <w:r>
              <w:rPr>
                <w:rFonts w:hint="eastAsia" w:ascii="仿宋" w:hAnsi="仿宋" w:eastAsia="仿宋" w:cs="仿宋"/>
                <w:color w:val="000000" w:themeColor="text1"/>
                <w:sz w:val="24"/>
                <w:lang w:val="en-US" w:eastAsia="zh-CN"/>
                <w14:textFill>
                  <w14:solidFill>
                    <w14:schemeClr w14:val="tx1"/>
                  </w14:solidFill>
                </w14:textFill>
              </w:rPr>
              <w:noBreakHyphen/>
            </w:r>
            <w:r>
              <w:rPr>
                <w:rFonts w:hint="eastAsia" w:ascii="仿宋" w:hAnsi="仿宋" w:eastAsia="仿宋" w:cs="仿宋"/>
                <w:color w:val="000000" w:themeColor="text1"/>
                <w:sz w:val="24"/>
                <w:lang w:val="en-US" w:eastAsia="zh-CN"/>
                <w14:textFill>
                  <w14:solidFill>
                    <w14:schemeClr w14:val="tx1"/>
                  </w14:solidFill>
                </w14:textFill>
              </w:rPr>
              <w:t>3m，耐旱性强；</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草本层：以羊耳菊、小蓬草、紫茎泽兰为优势，反映出一定的人为干扰特征。</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B、人工植被</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a. 经济林</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评价区内经济林主要为蓝桉林与核桃林。</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蓝桉林：外貌呈灰绿色，林分较稀疏，蓝桉（Eucalyptus globulus）行间距2</w:t>
            </w:r>
            <w:r>
              <w:rPr>
                <w:rFonts w:hint="eastAsia" w:ascii="仿宋" w:hAnsi="仿宋" w:eastAsia="仿宋" w:cs="仿宋"/>
                <w:color w:val="000000" w:themeColor="text1"/>
                <w:sz w:val="24"/>
                <w:lang w:val="en-US" w:eastAsia="zh-CN"/>
                <w14:textFill>
                  <w14:solidFill>
                    <w14:schemeClr w14:val="tx1"/>
                  </w14:solidFill>
                </w14:textFill>
              </w:rPr>
              <w:noBreakHyphen/>
            </w:r>
            <w:r>
              <w:rPr>
                <w:rFonts w:hint="eastAsia" w:ascii="仿宋" w:hAnsi="仿宋" w:eastAsia="仿宋" w:cs="仿宋"/>
                <w:color w:val="000000" w:themeColor="text1"/>
                <w:sz w:val="24"/>
                <w:lang w:val="en-US" w:eastAsia="zh-CN"/>
                <w14:textFill>
                  <w14:solidFill>
                    <w14:schemeClr w14:val="tx1"/>
                  </w14:solidFill>
                </w14:textFill>
              </w:rPr>
              <w:t>3m，树高约12m，胸径约29cm，总盖度50%</w:t>
            </w:r>
            <w:r>
              <w:rPr>
                <w:rFonts w:hint="eastAsia" w:ascii="仿宋" w:hAnsi="仿宋" w:eastAsia="仿宋" w:cs="仿宋"/>
                <w:color w:val="000000" w:themeColor="text1"/>
                <w:sz w:val="24"/>
                <w:lang w:val="en-US" w:eastAsia="zh-CN"/>
                <w14:textFill>
                  <w14:solidFill>
                    <w14:schemeClr w14:val="tx1"/>
                  </w14:solidFill>
                </w14:textFill>
              </w:rPr>
              <w:noBreakHyphen/>
            </w:r>
            <w:r>
              <w:rPr>
                <w:rFonts w:hint="eastAsia" w:ascii="仿宋" w:hAnsi="仿宋" w:eastAsia="仿宋" w:cs="仿宋"/>
                <w:color w:val="000000" w:themeColor="text1"/>
                <w:sz w:val="24"/>
                <w:lang w:val="en-US" w:eastAsia="zh-CN"/>
                <w14:textFill>
                  <w14:solidFill>
                    <w14:schemeClr w14:val="tx1"/>
                  </w14:solidFill>
                </w14:textFill>
              </w:rPr>
              <w:t>60%；林下常见蒲苇、羊耳菊等；</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核桃林：树高6</w:t>
            </w:r>
            <w:r>
              <w:rPr>
                <w:rFonts w:hint="eastAsia" w:ascii="仿宋" w:hAnsi="仿宋" w:eastAsia="仿宋" w:cs="仿宋"/>
                <w:color w:val="000000" w:themeColor="text1"/>
                <w:sz w:val="24"/>
                <w:lang w:val="en-US" w:eastAsia="zh-CN"/>
                <w14:textFill>
                  <w14:solidFill>
                    <w14:schemeClr w14:val="tx1"/>
                  </w14:solidFill>
                </w14:textFill>
              </w:rPr>
              <w:noBreakHyphen/>
            </w:r>
            <w:r>
              <w:rPr>
                <w:rFonts w:hint="eastAsia" w:ascii="仿宋" w:hAnsi="仿宋" w:eastAsia="仿宋" w:cs="仿宋"/>
                <w:color w:val="000000" w:themeColor="text1"/>
                <w:sz w:val="24"/>
                <w:lang w:val="en-US" w:eastAsia="zh-CN"/>
                <w14:textFill>
                  <w14:solidFill>
                    <w14:schemeClr w14:val="tx1"/>
                  </w14:solidFill>
                </w14:textFill>
              </w:rPr>
              <w:t>8m，已成成林状。</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③植物现状及区系特征 </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评价区维管植物以滇中高原乡土物种为主，区系成分兼具亚热带和温带特征，以泛热带分布、东亚分布物种占优势。现场调查确认的主要野生植物包括：</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乔木类：云南松、锥连栎；</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灌木类：马桑、厚皮香、长圆叶梾木、云南越桔、散页女贞、云南含笑、瑞香狼毒、山乌桕、椭圆悬钩子、豪猪刺、小叶栒子；</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草本类：羊耳菊、小蓬草、蒲苇；</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入侵物种：紫茎泽兰，多分布于林缘、道路两侧等人为干扰地带。</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2）项目区植被现状 </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根据现场实际调查：</w:t>
            </w:r>
            <w:r>
              <w:rPr>
                <w:rFonts w:hint="eastAsia" w:ascii="仿宋" w:hAnsi="仿宋" w:eastAsia="仿宋" w:cs="仿宋"/>
                <w:color w:val="000000" w:themeColor="text1"/>
                <w:sz w:val="24"/>
                <w:lang w:val="en-US" w:eastAsia="zh-CN"/>
                <w14:textFill>
                  <w14:solidFill>
                    <w14:schemeClr w14:val="tx1"/>
                  </w14:solidFill>
                </w14:textFill>
              </w:rPr>
              <w:t>项目区土地利用类型以乔木林地、灌木林地、裸土地为主，无原生半湿润常绿阔叶林分布，现状以次生云南松林、锥连栎灌丛为主要植被类型，具体特征如下：</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乔木林地：以云南松林为主体，郁闭度 40%</w:t>
            </w:r>
            <w:r>
              <w:rPr>
                <w:rFonts w:hint="eastAsia" w:ascii="仿宋" w:hAnsi="仿宋" w:eastAsia="仿宋" w:cs="仿宋"/>
                <w:color w:val="000000" w:themeColor="text1"/>
                <w:sz w:val="24"/>
                <w:lang w:val="en-US" w:eastAsia="zh-CN"/>
                <w14:textFill>
                  <w14:solidFill>
                    <w14:schemeClr w14:val="tx1"/>
                  </w14:solidFill>
                </w14:textFill>
              </w:rPr>
              <w:noBreakHyphen/>
            </w:r>
            <w:r>
              <w:rPr>
                <w:rFonts w:hint="eastAsia" w:ascii="仿宋" w:hAnsi="仿宋" w:eastAsia="仿宋" w:cs="仿宋"/>
                <w:color w:val="000000" w:themeColor="text1"/>
                <w:sz w:val="24"/>
                <w:lang w:val="en-US" w:eastAsia="zh-CN"/>
                <w14:textFill>
                  <w14:solidFill>
                    <w14:schemeClr w14:val="tx1"/>
                  </w14:solidFill>
                </w14:textFill>
              </w:rPr>
              <w:t>50%，林下灌草层以锥连栎、羊耳菊、小蓬草为优势；</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灌木林地：以锥连栎灌丛、石栎灌丛为主，分布于林缘、坡地，层盖度 60%</w:t>
            </w:r>
            <w:r>
              <w:rPr>
                <w:rFonts w:hint="eastAsia" w:ascii="仿宋" w:hAnsi="仿宋" w:eastAsia="仿宋" w:cs="仿宋"/>
                <w:color w:val="000000" w:themeColor="text1"/>
                <w:sz w:val="24"/>
                <w:lang w:val="en-US" w:eastAsia="zh-CN"/>
                <w14:textFill>
                  <w14:solidFill>
                    <w14:schemeClr w14:val="tx1"/>
                  </w14:solidFill>
                </w14:textFill>
              </w:rPr>
              <w:noBreakHyphen/>
            </w:r>
            <w:r>
              <w:rPr>
                <w:rFonts w:hint="eastAsia" w:ascii="仿宋" w:hAnsi="仿宋" w:eastAsia="仿宋" w:cs="仿宋"/>
                <w:color w:val="000000" w:themeColor="text1"/>
                <w:sz w:val="24"/>
                <w:lang w:val="en-US" w:eastAsia="zh-CN"/>
                <w14:textFill>
                  <w14:solidFill>
                    <w14:schemeClr w14:val="tx1"/>
                  </w14:solidFill>
                </w14:textFill>
              </w:rPr>
              <w:t>70%，伴生云南越桔、小叶栒子、马桑等耐旱灌木及草本；</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裸土地/临时占地：主要分布于进场道路、开关站周边，植被覆盖率较低，以羊耳菊、小蓬草、紫茎泽兰、蒲苇等耐旱草本为主，自然肥力一般。</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项目占地面积48485.72m²，其中，永久占地面积3825.13m²，临时用地面积44660.59m²</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根据各部门《关于莲峰村项目选址意见的复函》（详见附件）</w:t>
            </w:r>
            <w:r>
              <w:rPr>
                <w:rFonts w:hint="eastAsia" w:ascii="仿宋" w:hAnsi="仿宋" w:eastAsia="仿宋" w:cs="仿宋"/>
                <w:color w:val="000000" w:themeColor="text1"/>
                <w:sz w:val="24"/>
                <w14:textFill>
                  <w14:solidFill>
                    <w14:schemeClr w14:val="tx1"/>
                  </w14:solidFill>
                </w14:textFill>
              </w:rPr>
              <w:t>该项</w:t>
            </w:r>
            <w:r>
              <w:rPr>
                <w:rFonts w:hint="eastAsia" w:ascii="仿宋" w:hAnsi="仿宋" w:eastAsia="仿宋" w:cs="仿宋"/>
                <w:color w:val="000000" w:themeColor="text1"/>
                <w:sz w:val="24"/>
                <w:szCs w:val="24"/>
                <w14:textFill>
                  <w14:solidFill>
                    <w14:schemeClr w14:val="tx1"/>
                  </w14:solidFill>
                </w14:textFill>
              </w:rPr>
              <w:t>目占地不涉及永久基本农田，涉及弥渡县密祉镇集体林地，不涉及国家级、省级公益林及生态保护红线，不在自然保护区、风景名胜区、地质公园等生态敏感区范围内。根据《国家重点保护野生植物名录（2021 年）》《云南省重点保护野生植物名录（第一批）》，项目占地范围内未发现国家级、省级重点保护野生植物，无《中国生物多样性物种红色名录》受威胁物种及古树名木分布。通过实地对项目区进行植被调查，项目区植被种类详见下表3-</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172"/>
              <w:gridCol w:w="1155"/>
              <w:gridCol w:w="1345"/>
              <w:gridCol w:w="3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序号</w:t>
                  </w:r>
                </w:p>
              </w:tc>
              <w:tc>
                <w:tcPr>
                  <w:tcW w:w="1172" w:type="dxa"/>
                  <w:noWrap w:val="0"/>
                  <w:vAlign w:val="center"/>
                </w:tcPr>
                <w:p>
                  <w:pPr>
                    <w:autoSpaceDE w:val="0"/>
                    <w:autoSpaceDN w:val="0"/>
                    <w:adjustRightInd w:val="0"/>
                    <w:snapToGrid w:val="0"/>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科名</w:t>
                  </w:r>
                </w:p>
              </w:tc>
              <w:tc>
                <w:tcPr>
                  <w:tcW w:w="1155" w:type="dxa"/>
                  <w:noWrap w:val="0"/>
                  <w:vAlign w:val="center"/>
                </w:tcPr>
                <w:p>
                  <w:pPr>
                    <w:autoSpaceDE w:val="0"/>
                    <w:autoSpaceDN w:val="0"/>
                    <w:adjustRightInd w:val="0"/>
                    <w:snapToGrid w:val="0"/>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属名</w:t>
                  </w:r>
                </w:p>
              </w:tc>
              <w:tc>
                <w:tcPr>
                  <w:tcW w:w="1345" w:type="dxa"/>
                  <w:noWrap w:val="0"/>
                  <w:vAlign w:val="center"/>
                </w:tcPr>
                <w:p>
                  <w:pPr>
                    <w:autoSpaceDE w:val="0"/>
                    <w:autoSpaceDN w:val="0"/>
                    <w:adjustRightInd w:val="0"/>
                    <w:snapToGrid w:val="0"/>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种名</w:t>
                  </w:r>
                </w:p>
              </w:tc>
              <w:tc>
                <w:tcPr>
                  <w:tcW w:w="3578" w:type="dxa"/>
                  <w:noWrap w:val="0"/>
                  <w:vAlign w:val="center"/>
                </w:tcPr>
                <w:p>
                  <w:pPr>
                    <w:autoSpaceDE w:val="0"/>
                    <w:autoSpaceDN w:val="0"/>
                    <w:adjustRightInd w:val="0"/>
                    <w:snapToGrid w:val="0"/>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物种拉丁语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松科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松属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云南松</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Pinus yunnanensis Franch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菊科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紫茎泽兰属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紫茎泽兰</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Ageratina adenophora（Spreng.）R.M. King et H.Ro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马桑科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马桑属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马桑树</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Coriaria nepalensis Wall.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山茶科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厚皮香属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厚皮香</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Ternstroemia gymnanthera (Wight &amp; Arn.) Bedd.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杨梅科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杨梅属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杨梅</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Myrica rubra Sieb. et Zucc.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山茱萸科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梾木属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长圆叶梾木</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Swida oblonga (Wall.) Soják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桃金娘科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桉属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蓝桉</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Eucalyptus globulus Labill.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禾本科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蒲苇属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蒲苇</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Cortaderia selloana (Schult. &amp; Schult.f.) Asch. &amp; Graebn.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菊科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旋覆花属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羊耳菊</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Duhaldea cappa (Buch.-Ham. ex D.Don) Anderb.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杜鹃花科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越桔属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云南越桔</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Vaccinium duclouxii (Levl.) Hand.-Mazz.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木犀科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女贞属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散页女贞</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Ligustrum confusum Decne.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木兰科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含笑属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云南含笑</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Michelia yunnanensis Franch. ex Finet &amp; Gagnep.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瑞香科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狼毒属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瑞香狼毒</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Stellera chamaejasme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大戟科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乌桕属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山乌桕</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Sapium discolor (Champ. ex Benth.) Muell.-Arg.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菊科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白酒草属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小蓬草</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Erigeron canadensis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桃金娘科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桉属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银叶桉</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Eucalyptus cinerea F.Muell. ex Benth.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蔷薇科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悬钩子属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椭圆悬钩子</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Rubus ellipticus Smith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小檗科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小檗</w:t>
                  </w:r>
                  <w:r>
                    <w:rPr>
                      <w:rFonts w:hint="eastAsia" w:ascii="仿宋" w:hAnsi="仿宋" w:eastAsia="仿宋" w:cs="仿宋"/>
                      <w:color w:val="000000" w:themeColor="text1"/>
                      <w:szCs w:val="21"/>
                      <w:shd w:val="clear" w:color="auto" w:fill="FFFFFF"/>
                      <w:lang w:eastAsia="zh-CN"/>
                      <w14:textFill>
                        <w14:solidFill>
                          <w14:schemeClr w14:val="tx1"/>
                        </w14:solidFill>
                      </w14:textFill>
                    </w:rPr>
                    <w:t>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豪猪刺</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val="en-US" w:eastAsia="zh-CN"/>
                      <w14:textFill>
                        <w14:solidFill>
                          <w14:schemeClr w14:val="tx1"/>
                        </w14:solidFill>
                      </w14:textFill>
                    </w:rPr>
                  </w:pPr>
                  <w:r>
                    <w:rPr>
                      <w:rFonts w:hint="eastAsia" w:ascii="仿宋" w:hAnsi="仿宋" w:eastAsia="仿宋" w:cs="仿宋"/>
                      <w:color w:val="000000" w:themeColor="text1"/>
                      <w:szCs w:val="21"/>
                      <w:shd w:val="clear" w:color="auto" w:fill="FFFFFF"/>
                      <w:lang w:val="en-US" w:eastAsia="zh-CN"/>
                      <w14:textFill>
                        <w14:solidFill>
                          <w14:schemeClr w14:val="tx1"/>
                        </w14:solidFill>
                      </w14:textFill>
                    </w:rPr>
                    <w:t>Berberis julianae Schneid.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19</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壳斗科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栎属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锥连栎</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Quercus franchetii Skan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 w:type="dxa"/>
                  <w:noWrap w:val="0"/>
                  <w:vAlign w:val="center"/>
                </w:tcPr>
                <w:p>
                  <w:pPr>
                    <w:autoSpaceDE w:val="0"/>
                    <w:autoSpaceDN w:val="0"/>
                    <w:adjustRightInd w:val="0"/>
                    <w:snapToGrid w:val="0"/>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20</w:t>
                  </w:r>
                </w:p>
              </w:tc>
              <w:tc>
                <w:tcPr>
                  <w:tcW w:w="1172"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蔷薇科</w:t>
                  </w:r>
                </w:p>
              </w:tc>
              <w:tc>
                <w:tcPr>
                  <w:tcW w:w="115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栒子属</w:t>
                  </w:r>
                </w:p>
              </w:tc>
              <w:tc>
                <w:tcPr>
                  <w:tcW w:w="1345"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lang w:eastAsia="zh-CN"/>
                      <w14:textFill>
                        <w14:solidFill>
                          <w14:schemeClr w14:val="tx1"/>
                        </w14:solidFill>
                      </w14:textFill>
                    </w:rPr>
                  </w:pPr>
                  <w:r>
                    <w:rPr>
                      <w:rFonts w:hint="eastAsia" w:ascii="仿宋" w:hAnsi="仿宋" w:eastAsia="仿宋" w:cs="仿宋"/>
                      <w:color w:val="000000" w:themeColor="text1"/>
                      <w:szCs w:val="21"/>
                      <w:shd w:val="clear" w:color="auto" w:fill="FFFFFF"/>
                      <w:lang w:eastAsia="zh-CN"/>
                      <w14:textFill>
                        <w14:solidFill>
                          <w14:schemeClr w14:val="tx1"/>
                        </w14:solidFill>
                      </w14:textFill>
                    </w:rPr>
                    <w:t>小叶栒子</w:t>
                  </w:r>
                </w:p>
              </w:tc>
              <w:tc>
                <w:tcPr>
                  <w:tcW w:w="3578" w:type="dxa"/>
                  <w:noWrap w:val="0"/>
                  <w:vAlign w:val="center"/>
                </w:tcPr>
                <w:p>
                  <w:pPr>
                    <w:autoSpaceDE w:val="0"/>
                    <w:autoSpaceDN w:val="0"/>
                    <w:adjustRightInd w:val="0"/>
                    <w:snapToGrid w:val="0"/>
                    <w:jc w:val="center"/>
                    <w:rPr>
                      <w:rFonts w:hint="eastAsia" w:ascii="仿宋" w:hAnsi="仿宋" w:eastAsia="仿宋" w:cs="仿宋"/>
                      <w:color w:val="000000" w:themeColor="text1"/>
                      <w:szCs w:val="21"/>
                      <w:shd w:val="clear" w:color="auto" w:fill="FFFFFF"/>
                      <w14:textFill>
                        <w14:solidFill>
                          <w14:schemeClr w14:val="tx1"/>
                        </w14:solidFill>
                      </w14:textFill>
                    </w:rPr>
                  </w:pPr>
                  <w:r>
                    <w:rPr>
                      <w:rFonts w:hint="eastAsia" w:ascii="仿宋" w:hAnsi="仿宋" w:eastAsia="仿宋" w:cs="仿宋"/>
                      <w:color w:val="000000" w:themeColor="text1"/>
                      <w:szCs w:val="21"/>
                      <w:shd w:val="clear" w:color="auto" w:fill="FFFFFF"/>
                      <w14:textFill>
                        <w14:solidFill>
                          <w14:schemeClr w14:val="tx1"/>
                        </w14:solidFill>
                      </w14:textFill>
                    </w:rPr>
                    <w:t>Cotoneaster microphyllus Wall. ex Lindl.</w:t>
                  </w:r>
                </w:p>
              </w:tc>
            </w:tr>
          </w:tbl>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根据《国家重点保护野生植物名录》（2021 年）以及《云南省重点保护野生植物名录（第一批）》（1989），本项目占地范围内未发现国家级保护植物、云南省级重点保护植物、省域特有种，以及被《中国生物多样性物种红色名录》中列为极危（CriticallyEndangered）、濒危（Endangered）和易危（Vulnerable）的物种，本项目勘查区也未见有名木古树分布。</w:t>
            </w:r>
          </w:p>
          <w:p>
            <w:pPr>
              <w:autoSpaceDE w:val="0"/>
              <w:autoSpaceDN w:val="0"/>
              <w:adjustRightInd w:val="0"/>
              <w:snapToGrid w:val="0"/>
              <w:spacing w:line="360" w:lineRule="auto"/>
              <w:ind w:firstLine="480"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总体而言，本项目</w:t>
            </w:r>
            <w:r>
              <w:rPr>
                <w:rFonts w:hint="eastAsia" w:ascii="仿宋" w:hAnsi="仿宋" w:eastAsia="仿宋" w:cs="仿宋"/>
                <w:color w:val="000000" w:themeColor="text1"/>
                <w:sz w:val="24"/>
                <w:lang w:eastAsia="zh-CN"/>
                <w14:textFill>
                  <w14:solidFill>
                    <w14:schemeClr w14:val="tx1"/>
                  </w14:solidFill>
                </w14:textFill>
              </w:rPr>
              <w:t>占地</w:t>
            </w:r>
            <w:r>
              <w:rPr>
                <w:rFonts w:hint="eastAsia" w:ascii="仿宋" w:hAnsi="仿宋" w:eastAsia="仿宋" w:cs="仿宋"/>
                <w:color w:val="000000" w:themeColor="text1"/>
                <w:sz w:val="24"/>
                <w14:textFill>
                  <w14:solidFill>
                    <w14:schemeClr w14:val="tx1"/>
                  </w14:solidFill>
                </w14:textFill>
              </w:rPr>
              <w:t>不在生态红线划定区域，不涉及永久基本农田，项目</w:t>
            </w:r>
            <w:r>
              <w:rPr>
                <w:rFonts w:hint="eastAsia" w:ascii="仿宋" w:hAnsi="仿宋" w:eastAsia="仿宋" w:cs="仿宋"/>
                <w:color w:val="000000" w:themeColor="text1"/>
                <w:sz w:val="24"/>
                <w:lang w:eastAsia="zh-CN"/>
                <w14:textFill>
                  <w14:solidFill>
                    <w14:schemeClr w14:val="tx1"/>
                  </w14:solidFill>
                </w14:textFill>
              </w:rPr>
              <w:t>为风力发电项目</w:t>
            </w:r>
            <w:r>
              <w:rPr>
                <w:rFonts w:hint="eastAsia" w:ascii="仿宋" w:hAnsi="仿宋" w:eastAsia="仿宋" w:cs="仿宋"/>
                <w:color w:val="000000" w:themeColor="text1"/>
                <w:sz w:val="24"/>
                <w14:textFill>
                  <w14:solidFill>
                    <w14:schemeClr w14:val="tx1"/>
                  </w14:solidFill>
                </w14:textFill>
              </w:rPr>
              <w:t>，将不可避免的占用少量</w:t>
            </w:r>
            <w:r>
              <w:rPr>
                <w:rFonts w:hint="eastAsia" w:ascii="仿宋" w:hAnsi="仿宋" w:eastAsia="仿宋" w:cs="仿宋"/>
                <w:color w:val="000000" w:themeColor="text1"/>
                <w:sz w:val="24"/>
                <w:lang w:eastAsia="zh-CN"/>
                <w14:textFill>
                  <w14:solidFill>
                    <w14:schemeClr w14:val="tx1"/>
                  </w14:solidFill>
                </w14:textFill>
              </w:rPr>
              <w:t>林地</w:t>
            </w:r>
            <w:r>
              <w:rPr>
                <w:rFonts w:hint="eastAsia" w:ascii="仿宋" w:hAnsi="仿宋" w:eastAsia="仿宋" w:cs="仿宋"/>
                <w:color w:val="000000" w:themeColor="text1"/>
                <w:sz w:val="24"/>
                <w14:textFill>
                  <w14:solidFill>
                    <w14:schemeClr w14:val="tx1"/>
                  </w14:solidFill>
                </w14:textFill>
              </w:rPr>
              <w:t>，根据大理州“三线一单”生态环境分区管控实施方案，占用公益林涉及一般生态空间优先保护单元，根据管控要求未纳入生态保护红线的；生态公益林依据《国家级公益林管理办法》《云南省公益林管理办法》等进行管理；建设单位已严格按照《云南省级公益林管理办法》等进行管理，目前正在申请《</w:t>
            </w:r>
            <w:r>
              <w:rPr>
                <w:rFonts w:hint="eastAsia" w:ascii="仿宋" w:hAnsi="仿宋" w:eastAsia="仿宋" w:cs="仿宋"/>
                <w:color w:val="000000" w:themeColor="text1"/>
                <w:sz w:val="24"/>
                <w:lang w:eastAsia="zh-CN"/>
                <w14:textFill>
                  <w14:solidFill>
                    <w14:schemeClr w14:val="tx1"/>
                  </w14:solidFill>
                </w14:textFill>
              </w:rPr>
              <w:t>弥渡县</w:t>
            </w:r>
            <w:r>
              <w:rPr>
                <w:rFonts w:hint="eastAsia" w:ascii="仿宋" w:hAnsi="仿宋" w:eastAsia="仿宋" w:cs="仿宋"/>
                <w:color w:val="000000" w:themeColor="text1"/>
                <w:sz w:val="24"/>
                <w14:textFill>
                  <w14:solidFill>
                    <w14:schemeClr w14:val="tx1"/>
                  </w14:solidFill>
                </w14:textFill>
              </w:rPr>
              <w:t>林业和草原局关于</w:t>
            </w:r>
            <w:r>
              <w:rPr>
                <w:rFonts w:hint="eastAsia" w:ascii="仿宋" w:hAnsi="仿宋" w:eastAsia="仿宋" w:cs="仿宋"/>
                <w:color w:val="000000" w:themeColor="text1"/>
                <w:sz w:val="24"/>
                <w:lang w:eastAsia="zh-CN"/>
                <w14:textFill>
                  <w14:solidFill>
                    <w14:schemeClr w14:val="tx1"/>
                  </w14:solidFill>
                </w14:textFill>
              </w:rPr>
              <w:t>“千乡万村驭风行动”莲峰村</w:t>
            </w:r>
            <w:r>
              <w:rPr>
                <w:rFonts w:hint="eastAsia" w:ascii="仿宋" w:hAnsi="仿宋" w:eastAsia="仿宋" w:cs="仿宋"/>
                <w:color w:val="000000" w:themeColor="text1"/>
                <w:sz w:val="24"/>
                <w14:textFill>
                  <w14:solidFill>
                    <w14:schemeClr w14:val="tx1"/>
                  </w14:solidFill>
                </w14:textFill>
              </w:rPr>
              <w:t>项目占用林地的行政许可决定》。项目</w:t>
            </w:r>
            <w:r>
              <w:rPr>
                <w:rFonts w:hint="eastAsia" w:ascii="仿宋" w:hAnsi="仿宋" w:eastAsia="仿宋" w:cs="仿宋"/>
                <w:color w:val="000000" w:themeColor="text1"/>
                <w:sz w:val="24"/>
                <w:lang w:eastAsia="zh-CN"/>
                <w14:textFill>
                  <w14:solidFill>
                    <w14:schemeClr w14:val="tx1"/>
                  </w14:solidFill>
                </w14:textFill>
              </w:rPr>
              <w:t>施工</w:t>
            </w:r>
            <w:r>
              <w:rPr>
                <w:rFonts w:hint="eastAsia" w:ascii="仿宋" w:hAnsi="仿宋" w:eastAsia="仿宋" w:cs="仿宋"/>
                <w:color w:val="000000" w:themeColor="text1"/>
                <w:sz w:val="24"/>
                <w14:textFill>
                  <w14:solidFill>
                    <w14:schemeClr w14:val="tx1"/>
                  </w14:solidFill>
                </w14:textFill>
              </w:rPr>
              <w:t>工作结束后将立即</w:t>
            </w:r>
            <w:r>
              <w:rPr>
                <w:rFonts w:hint="eastAsia" w:ascii="仿宋" w:hAnsi="仿宋" w:eastAsia="仿宋" w:cs="仿宋"/>
                <w:color w:val="000000" w:themeColor="text1"/>
                <w:sz w:val="24"/>
                <w:lang w:eastAsia="zh-CN"/>
                <w14:textFill>
                  <w14:solidFill>
                    <w14:schemeClr w14:val="tx1"/>
                  </w14:solidFill>
                </w14:textFill>
              </w:rPr>
              <w:t>对临时占用土地</w:t>
            </w:r>
            <w:r>
              <w:rPr>
                <w:rFonts w:hint="eastAsia" w:ascii="仿宋" w:hAnsi="仿宋" w:eastAsia="仿宋" w:cs="仿宋"/>
                <w:color w:val="000000" w:themeColor="text1"/>
                <w:sz w:val="24"/>
                <w14:textFill>
                  <w14:solidFill>
                    <w14:schemeClr w14:val="tx1"/>
                  </w14:solidFill>
                </w14:textFill>
              </w:rPr>
              <w:t xml:space="preserve">进行恢复治理。 </w:t>
            </w:r>
          </w:p>
          <w:bookmarkEnd w:id="18"/>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1.3.2</w:t>
            </w:r>
            <w:r>
              <w:rPr>
                <w:rFonts w:hint="eastAsia" w:ascii="仿宋" w:hAnsi="仿宋" w:eastAsia="仿宋" w:cs="仿宋"/>
                <w:b/>
                <w:bCs/>
                <w:color w:val="000000" w:themeColor="text1"/>
                <w:sz w:val="24"/>
                <w:szCs w:val="24"/>
                <w14:textFill>
                  <w14:solidFill>
                    <w14:schemeClr w14:val="tx1"/>
                  </w14:solidFill>
                </w14:textFill>
              </w:rPr>
              <w:t>评价区主要植被特征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1</w:t>
            </w:r>
            <w:r>
              <w:rPr>
                <w:rFonts w:hint="eastAsia" w:ascii="仿宋" w:hAnsi="仿宋" w:eastAsia="仿宋" w:cs="仿宋"/>
                <w:b/>
                <w:bCs/>
                <w:color w:val="000000" w:themeColor="text1"/>
                <w:sz w:val="24"/>
                <w:szCs w:val="24"/>
                <w:lang w:eastAsia="zh-CN"/>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云南松</w:t>
            </w:r>
            <w:r>
              <w:rPr>
                <w:rFonts w:hint="eastAsia" w:ascii="仿宋" w:hAnsi="仿宋" w:eastAsia="仿宋" w:cs="仿宋"/>
                <w:b/>
                <w:bCs/>
                <w:color w:val="000000" w:themeColor="text1"/>
                <w:sz w:val="24"/>
                <w:szCs w:val="24"/>
                <w14:textFill>
                  <w14:solidFill>
                    <w14:schemeClr w14:val="tx1"/>
                  </w14:solidFill>
                </w14:textFill>
              </w:rPr>
              <w:t>林：</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云南松</w:t>
            </w:r>
            <w:r>
              <w:rPr>
                <w:rFonts w:hint="eastAsia" w:ascii="仿宋" w:hAnsi="仿宋" w:eastAsia="仿宋" w:cs="仿宋"/>
                <w:color w:val="000000" w:themeColor="text1"/>
                <w:sz w:val="24"/>
                <w14:textFill>
                  <w14:solidFill>
                    <w14:schemeClr w14:val="tx1"/>
                  </w14:solidFill>
                </w14:textFill>
              </w:rPr>
              <w:t>（Pinus yunnanensis）云南松是松科松属的乔木，高可达30米。树皮褐灰色，深纵裂，裂片厚或裂成不规则的鳞状块片；红褐色枝开展，稍下垂；红褐色冬芽呈圆锥状卵圆形；针叶先端尖，横切面扇状三角形或半圆形；雄球花圆柱状，生于新枝下部的苞腋内，聚集成穗状；球果圆锥状卵圆形，有短梗；种子褐色，近卵圆形或倒卵形；花期4-5月；果期翌年10月。云南松原产于中国，分布于云南、西藏、四川、贵州、广西等地区。生于海拔600米-3100米地带，喜光，适应性强，耐旱、耐瘠，喜气候温和的半阴环境和深厚、肥沃、排水良好的酸质砂质土壤。评价区内</w:t>
            </w:r>
            <w:r>
              <w:rPr>
                <w:rFonts w:hint="eastAsia" w:ascii="仿宋" w:hAnsi="仿宋" w:eastAsia="仿宋" w:cs="仿宋"/>
                <w:color w:val="000000" w:themeColor="text1"/>
                <w:sz w:val="24"/>
                <w:lang w:val="en-US" w:eastAsia="zh-CN"/>
                <w14:textFill>
                  <w14:solidFill>
                    <w14:schemeClr w14:val="tx1"/>
                  </w14:solidFill>
                </w14:textFill>
              </w:rPr>
              <w:t>云南松</w:t>
            </w:r>
            <w:r>
              <w:rPr>
                <w:rFonts w:hint="eastAsia" w:ascii="仿宋" w:hAnsi="仿宋" w:eastAsia="仿宋" w:cs="仿宋"/>
                <w:color w:val="000000" w:themeColor="text1"/>
                <w:sz w:val="24"/>
                <w14:textFill>
                  <w14:solidFill>
                    <w14:schemeClr w14:val="tx1"/>
                  </w14:solidFill>
                </w14:textFill>
              </w:rPr>
              <w:t>林</w:t>
            </w:r>
            <w:r>
              <w:rPr>
                <w:rFonts w:hint="eastAsia" w:ascii="仿宋" w:hAnsi="仿宋" w:eastAsia="仿宋" w:cs="仿宋"/>
                <w:color w:val="000000" w:themeColor="text1"/>
                <w:sz w:val="24"/>
                <w:lang w:val="en-US" w:eastAsia="zh-CN"/>
                <w14:textFill>
                  <w14:solidFill>
                    <w14:schemeClr w14:val="tx1"/>
                  </w14:solidFill>
                </w14:textFill>
              </w:rPr>
              <w:t>成片分布</w:t>
            </w:r>
            <w:r>
              <w:rPr>
                <w:rFonts w:hint="eastAsia" w:ascii="仿宋" w:hAnsi="仿宋" w:eastAsia="仿宋" w:cs="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2）桉树</w:t>
            </w:r>
            <w:r>
              <w:rPr>
                <w:rFonts w:hint="eastAsia" w:ascii="仿宋" w:hAnsi="仿宋" w:eastAsia="仿宋" w:cs="仿宋"/>
                <w:b/>
                <w:bCs/>
                <w:color w:val="000000" w:themeColor="text1"/>
                <w:sz w:val="24"/>
                <w:szCs w:val="24"/>
                <w:lang w:eastAsia="zh-CN"/>
                <w14:textFill>
                  <w14:solidFill>
                    <w14:schemeClr w14:val="tx1"/>
                  </w14:solidFill>
                </w14:textFill>
              </w:rPr>
              <w:t>林</w:t>
            </w:r>
            <w:r>
              <w:rPr>
                <w:rFonts w:hint="eastAsia" w:ascii="仿宋" w:hAnsi="仿宋" w:eastAsia="仿宋" w:cs="仿宋"/>
                <w:b/>
                <w:bCs/>
                <w:color w:val="000000" w:themeColor="text1"/>
                <w:sz w:val="24"/>
                <w:szCs w:val="24"/>
                <w14:textFill>
                  <w14:solidFill>
                    <w14:schemeClr w14:val="tx1"/>
                  </w14:solidFill>
                </w14:textFill>
              </w:rPr>
              <w:t>：</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蓝桉（Eucalyptus globulus Labill.）为桃金娘科桉属大乔木；银叶桉（Eucalyptus cinerea F.Muell. ex Benth.）同属桉属，为常见栽培树种。评价区内以蓝桉为主要桉树类型，树干通直，叶片蓝绿色，幼叶对生、成熟叶互生，花单生叶腋，蒴果半球形。桉树喜光照、速生，耐旱耐贫瘠，在云南广泛作为人工经济林栽培。评价区内桉树分布较少，主要与云南松林里夹杂部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3）锥连栎</w:t>
            </w:r>
            <w:r>
              <w:rPr>
                <w:rFonts w:hint="eastAsia" w:ascii="仿宋" w:hAnsi="仿宋" w:eastAsia="仿宋" w:cs="仿宋"/>
                <w:b/>
                <w:bCs/>
                <w:color w:val="000000" w:themeColor="text1"/>
                <w:sz w:val="24"/>
                <w:szCs w:val="24"/>
                <w:lang w:eastAsia="zh-CN"/>
                <w14:textFill>
                  <w14:solidFill>
                    <w14:schemeClr w14:val="tx1"/>
                  </w14:solidFill>
                </w14:textFill>
              </w:rPr>
              <w:t>林</w:t>
            </w:r>
            <w:r>
              <w:rPr>
                <w:rFonts w:hint="eastAsia" w:ascii="仿宋" w:hAnsi="仿宋" w:eastAsia="仿宋" w:cs="仿宋"/>
                <w:b/>
                <w:bCs/>
                <w:color w:val="000000" w:themeColor="text1"/>
                <w:sz w:val="24"/>
                <w:szCs w:val="24"/>
                <w14:textFill>
                  <w14:solidFill>
                    <w14:schemeClr w14:val="tx1"/>
                  </w14:solidFill>
                </w14:textFill>
              </w:rPr>
              <w:t>：</w:t>
            </w:r>
          </w:p>
          <w:p>
            <w:pPr>
              <w:autoSpaceDE w:val="0"/>
              <w:autoSpaceDN w:val="0"/>
              <w:adjustRightInd w:val="0"/>
              <w:snapToGrid w:val="0"/>
              <w:spacing w:line="360" w:lineRule="auto"/>
              <w:ind w:firstLine="480" w:firstLineChars="200"/>
              <w:rPr>
                <w:rFonts w:hint="eastAsia" w:ascii="仿宋" w:hAnsi="仿宋" w:eastAsia="仿宋" w:cs="仿宋"/>
                <w:bCs/>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锥连栎（Quercus franchetii Skan）为壳斗科栎属常绿乔木，高可达15米，树皮暗褐色纵裂。叶片倒卵形或椭圆形，长5-12厘米，侧脉8-12对直达齿端。雄花序长4-5厘米，坚果矩圆形被灰色细绒毛，壳斗杯形包被坚果约1/2，花期2-3月，果期9-10月。该树种分布于中国四川、云南及泰国，常见于海拔800-2600米的干热河谷地带，中山地带，为滇中、滇西常绿阔叶灌丛及松林常见优势种，是当地常绿阔叶林的代表性乔木，常形成小面积纯林或分布于云南松林下，</w:t>
            </w:r>
            <w:r>
              <w:rPr>
                <w:rFonts w:hint="eastAsia" w:ascii="仿宋" w:hAnsi="仿宋" w:eastAsia="仿宋" w:cs="仿宋"/>
                <w:bCs/>
                <w:color w:val="000000" w:themeColor="text1"/>
                <w:sz w:val="24"/>
                <w:szCs w:val="24"/>
                <w:lang w:val="en-US" w:eastAsia="zh-CN"/>
                <w14:textFill>
                  <w14:solidFill>
                    <w14:schemeClr w14:val="tx1"/>
                  </w14:solidFill>
                </w14:textFill>
              </w:rPr>
              <w:t>评价区内锥连栎广泛分布于云南松林下</w:t>
            </w:r>
            <w:r>
              <w:rPr>
                <w:rFonts w:hint="eastAsia" w:ascii="仿宋" w:hAnsi="仿宋" w:eastAsia="仿宋" w:cs="仿宋"/>
                <w:bCs/>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（4）羊耳菊草丛</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羊耳菊（Duhaldea cappa (Buch.-Ham. ex D.Don) Anderb.）为菊科旋覆花属多年生草本或亚灌木，植株被绵毛，叶长圆形或披针形，头状花序多数，生于茎枝顶端，黄色，适应性强，耐旱、耐贫瘠，广泛生于云南松林下、灌丛、路边及荒坡，为评价区林下及林缘优势草本。评价区内羊耳菊草丛主要分布于林下、林缘、道路两侧及扰动地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（5）紫茎泽兰群落</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紫茎泽兰（Ageratina adenophora (Spreng.) R.M.King et H.Rob.）为菊科紫茎泽兰属多年生入侵草本，茎紫色，叶对生、卵状三角形，头状花序多数，繁殖能力强，扩散快，主要分布于林缘、路边、弃耕地及人为干扰区域，为评价区主要入侵植物。评价区内紫茎泽兰主要见于道路两侧、林缘及临时占地周边，呈片状或散生分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（6）小蓬草群落</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小蓬草（Erigeron canadensis L.）为菊科白酒草属一年生草本，茎直立，叶密集，线状披针形，头状花序多数，密集成圆锥状，耐贫瘠、耐干扰，广泛生于撂荒地、路边、林缘及松林下。评价区内小蓬草主要分布于林下、道路两侧及扰动地块，为常见伴生草本。</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（7）蒲苇草丛</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蒲苇（Cortaderia selloana (Schult. &amp; Schult.f.) Asch. &amp; Graebn.）为禾本科蒲苇属多年生高大草本，秆粗壮，叶狭长，圆锥花序大型、银白色，观赏与适应性强，生于沟谷、路边及湿润草地。</w:t>
            </w:r>
          </w:p>
          <w:p>
            <w:pPr>
              <w:autoSpaceDE w:val="0"/>
              <w:autoSpaceDN w:val="0"/>
              <w:adjustRightInd w:val="0"/>
              <w:snapToGrid w:val="0"/>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评价区内蒲苇草丛零星分布于道路两侧、沟谷及林缘湿润地带，分布面积较小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（8）其他灌草与优势灌木</w:t>
            </w:r>
          </w:p>
          <w:p>
            <w:pPr>
              <w:bidi w:val="0"/>
              <w:spacing w:line="360" w:lineRule="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评价区除上述群落外，广泛分布马桑、厚皮香、云南越桔、散页女贞、云南含笑、瑞香狼毒、山乌桕、椭圆悬钩子、豪猪刺、小叶栒子、长圆叶梾木等乡土灌木，多与云南松林、锥连栎灌丛交错分布，构成群落灌木层主体；草本以羊耳菊、小蓬草、紫茎泽兰为优势，共同形成评价区典型次生植被景观。</w:t>
            </w:r>
          </w:p>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1.4</w:t>
            </w:r>
            <w:r>
              <w:rPr>
                <w:rFonts w:hint="eastAsia" w:ascii="仿宋" w:hAnsi="仿宋" w:eastAsia="仿宋" w:cs="仿宋"/>
                <w:b/>
                <w:bCs/>
                <w:color w:val="000000" w:themeColor="text1"/>
                <w:sz w:val="24"/>
                <w:szCs w:val="24"/>
                <w14:textFill>
                  <w14:solidFill>
                    <w14:schemeClr w14:val="tx1"/>
                  </w14:solidFill>
                </w14:textFill>
              </w:rPr>
              <w:t>重要野生植物及古树名木</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根据《国家重点保护野生植物名录》（2021年</w:t>
            </w:r>
            <w:r>
              <w:rPr>
                <w:rFonts w:hint="eastAsia" w:ascii="仿宋" w:hAnsi="仿宋" w:eastAsia="仿宋" w:cs="仿宋"/>
                <w:color w:val="000000" w:themeColor="text1"/>
                <w:sz w:val="24"/>
                <w:szCs w:val="24"/>
                <w:lang w:val="en-US" w:eastAsia="zh-CN"/>
                <w14:textFill>
                  <w14:solidFill>
                    <w14:schemeClr w14:val="tx1"/>
                  </w14:solidFill>
                </w14:textFill>
              </w:rPr>
              <w:t>第5号</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《云南省重点保护野生植物名录》（2023年第11号）</w:t>
            </w:r>
            <w:r>
              <w:rPr>
                <w:rFonts w:hint="eastAsia" w:ascii="仿宋" w:hAnsi="仿宋" w:eastAsia="仿宋" w:cs="仿宋"/>
                <w:color w:val="000000" w:themeColor="text1"/>
                <w:sz w:val="24"/>
                <w:szCs w:val="24"/>
                <w14:textFill>
                  <w14:solidFill>
                    <w14:schemeClr w14:val="tx1"/>
                  </w14:solidFill>
                </w14:textFill>
              </w:rPr>
              <w:t>及区域古树名木资料，评价范围内无重点保护野生植物和古树名木分布。</w:t>
            </w:r>
          </w:p>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1.5</w:t>
            </w:r>
            <w:r>
              <w:rPr>
                <w:rFonts w:hint="eastAsia" w:ascii="仿宋" w:hAnsi="仿宋" w:eastAsia="仿宋" w:cs="仿宋"/>
                <w:b/>
                <w:bCs/>
                <w:color w:val="000000" w:themeColor="text1"/>
                <w:sz w:val="24"/>
                <w:szCs w:val="24"/>
                <w14:textFill>
                  <w14:solidFill>
                    <w14:schemeClr w14:val="tx1"/>
                  </w14:solidFill>
                </w14:textFill>
              </w:rPr>
              <w:t>野生动物现状评价</w:t>
            </w:r>
          </w:p>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1.5.1</w:t>
            </w:r>
            <w:r>
              <w:rPr>
                <w:rFonts w:hint="eastAsia" w:ascii="仿宋" w:hAnsi="仿宋" w:eastAsia="仿宋" w:cs="仿宋"/>
                <w:b/>
                <w:bCs/>
                <w:color w:val="000000" w:themeColor="text1"/>
                <w:sz w:val="24"/>
                <w:szCs w:val="24"/>
                <w14:textFill>
                  <w14:solidFill>
                    <w14:schemeClr w14:val="tx1"/>
                  </w14:solidFill>
                </w14:textFill>
              </w:rPr>
              <w:t>陆生动物种类组成及分布特征</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项目位于弥渡县密祉镇莲峰村东侧老鸦山，项目区海拔高程 1800～2350m。项目评价区内野生动物资源主要包含哺乳类、鸟类、爬行类及两栖类四大类群。</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经现场走访调查并结合相关文献资料核查：哺乳类主要有小家鼠、褐家鼠、云南兔、隐纹花鼠、赤腹松鼠等；鸟类以喜鹊、麻雀、家燕、珠颈斑鸠等常见物种为主；爬行类主要分布有中国壁虎、黑眉锦蛇、铜蜓蜥等；两栖类主要包括华西蟾蜍、黑眶蟾蜍、沼蛙等。</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评价区野生动物物种丰富度一般，空间分布不均，野生动物主要集中分布于评价区东部山林地带。该区域植被发育较好、人为活动干扰程度低，可为野生动物提供良好的觅食、栖息及隐蔽场所；评价区西侧以农耕地及村镇建设用地为主，受人类生产生活活动干扰显著，野生动物分布数量较少。</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评价区虽受到一定人为活动影响，但区域内仍留存有半湿润常绿阔叶林地带性原生植被片段，与次生植被、人工植被共同构成结构较为完整的陆地生态系统，为区域野生动物营造了适宜的生存栖息环境，野生动物物种组成及种群数量均保持较好水平。区内野生动物多活动于人为干扰较小的林地、灌丛及稀树灌木草丛，实地调查及资料佐证表明，评价区野生动物涵盖啮齿目、雀形目、有鳞目、无尾目等多个类群。</w:t>
            </w:r>
          </w:p>
          <w:p>
            <w:pPr>
              <w:spacing w:line="360" w:lineRule="auto"/>
              <w:ind w:firstLine="480" w:firstLineChars="0"/>
              <w:rPr>
                <w:rFonts w:hint="default"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经全面核查，评价范围内未发现国家及省级重点保护野生动物，也无区域狭域特有物种分布。总体而言，项目评价区生态环境质量总体良好，原生植被片段与次生植被、人工植被互为补充，可为陆栖野生动物提供充足的栖息、活动与隐蔽空间；区域既有与人伴生的常见陆生野生动物种类，物种多样性及种群群落稳定性均维持在较好水平。</w:t>
            </w:r>
          </w:p>
          <w:p>
            <w:pPr>
              <w:bidi w:val="0"/>
              <w:spacing w:line="360" w:lineRule="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1.6 生态敏感区现状调查</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项目位于云南省</w:t>
            </w:r>
            <w:r>
              <w:rPr>
                <w:rFonts w:hint="eastAsia" w:ascii="仿宋" w:hAnsi="仿宋" w:eastAsia="仿宋" w:cs="仿宋"/>
                <w:color w:val="000000" w:themeColor="text1"/>
                <w:sz w:val="24"/>
                <w:szCs w:val="24"/>
                <w:lang w:val="en-US" w:eastAsia="zh-CN"/>
                <w14:textFill>
                  <w14:solidFill>
                    <w14:schemeClr w14:val="tx1"/>
                  </w14:solidFill>
                </w14:textFill>
              </w:rPr>
              <w:t>大理白族自治州弥渡县</w:t>
            </w:r>
            <w:r>
              <w:rPr>
                <w:rFonts w:hint="eastAsia" w:ascii="仿宋" w:hAnsi="仿宋" w:eastAsia="仿宋" w:cs="仿宋"/>
                <w:color w:val="000000" w:themeColor="text1"/>
                <w:sz w:val="24"/>
                <w:szCs w:val="24"/>
                <w14:textFill>
                  <w14:solidFill>
                    <w14:schemeClr w14:val="tx1"/>
                  </w14:solidFill>
                </w14:textFill>
              </w:rPr>
              <w:t>，根据《云南省人民政府关于发布云南省生态保护红线的通知》（云政发〔2018〕32号）</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highlight w:val="yellow"/>
                <w:lang w:val="en-US" w:eastAsia="zh-CN"/>
                <w14:textFill>
                  <w14:solidFill>
                    <w14:schemeClr w14:val="tx1"/>
                  </w14:solidFill>
                </w14:textFill>
              </w:rPr>
              <w:t>结合《弥渡县自然资源局</w:t>
            </w:r>
            <w:bookmarkStart w:id="19" w:name="OLE_LINK5"/>
            <w:r>
              <w:rPr>
                <w:rFonts w:hint="eastAsia" w:ascii="仿宋" w:hAnsi="仿宋" w:eastAsia="仿宋" w:cs="仿宋"/>
                <w:color w:val="000000" w:themeColor="text1"/>
                <w:sz w:val="24"/>
                <w:szCs w:val="24"/>
                <w:highlight w:val="yellow"/>
                <w:lang w:val="en-US" w:eastAsia="zh-CN"/>
                <w14:textFill>
                  <w14:solidFill>
                    <w14:schemeClr w14:val="tx1"/>
                  </w14:solidFill>
                </w14:textFill>
              </w:rPr>
              <w:t>关于</w:t>
            </w:r>
            <w:r>
              <w:rPr>
                <w:rFonts w:hint="eastAsia" w:ascii="仿宋" w:hAnsi="仿宋" w:eastAsia="仿宋" w:cs="仿宋"/>
                <w:color w:val="000000" w:themeColor="text1"/>
                <w:sz w:val="24"/>
                <w:szCs w:val="24"/>
                <w:highlight w:val="yellow"/>
                <w:lang w:val="en-US" w:eastAsia="zh-CN"/>
                <w14:textFill>
                  <w14:solidFill>
                    <w14:schemeClr w14:val="tx1"/>
                  </w14:solidFill>
                </w14:textFill>
              </w:rPr>
              <w:t>“千乡万村驭风行动”莲峰村项目</w:t>
            </w:r>
            <w:bookmarkEnd w:id="19"/>
            <w:r>
              <w:rPr>
                <w:rFonts w:hint="eastAsia" w:ascii="仿宋" w:hAnsi="仿宋" w:eastAsia="仿宋" w:cs="仿宋"/>
                <w:color w:val="000000" w:themeColor="text1"/>
                <w:sz w:val="24"/>
                <w:szCs w:val="24"/>
                <w:highlight w:val="yellow"/>
                <w:lang w:val="en-US" w:eastAsia="zh-CN"/>
                <w14:textFill>
                  <w14:solidFill>
                    <w14:schemeClr w14:val="tx1"/>
                  </w14:solidFill>
                </w14:textFill>
              </w:rPr>
              <w:t>选址的复函》</w:t>
            </w:r>
            <w:r>
              <w:rPr>
                <w:rFonts w:hint="eastAsia" w:ascii="仿宋" w:hAnsi="仿宋" w:eastAsia="仿宋" w:cs="仿宋"/>
                <w:color w:val="000000" w:themeColor="text1"/>
                <w:sz w:val="24"/>
                <w:szCs w:val="24"/>
                <w:lang w:val="en-US" w:eastAsia="zh-CN"/>
                <w14:textFill>
                  <w14:solidFill>
                    <w14:schemeClr w14:val="tx1"/>
                  </w14:solidFill>
                </w14:textFill>
              </w:rPr>
              <w:t>，本项目不</w:t>
            </w:r>
            <w:r>
              <w:rPr>
                <w:rFonts w:hint="eastAsia" w:ascii="仿宋" w:hAnsi="仿宋" w:eastAsia="仿宋" w:cs="仿宋"/>
                <w:color w:val="000000" w:themeColor="text1"/>
                <w:sz w:val="24"/>
                <w:szCs w:val="24"/>
                <w14:textFill>
                  <w14:solidFill>
                    <w14:schemeClr w14:val="tx1"/>
                  </w14:solidFill>
                </w14:textFill>
              </w:rPr>
              <w:t>占用生态</w:t>
            </w:r>
            <w:r>
              <w:rPr>
                <w:rFonts w:hint="eastAsia" w:ascii="仿宋" w:hAnsi="仿宋" w:eastAsia="仿宋" w:cs="仿宋"/>
                <w:color w:val="000000" w:themeColor="text1"/>
                <w:sz w:val="24"/>
                <w:szCs w:val="24"/>
                <w:lang w:val="en-US" w:eastAsia="zh-CN"/>
                <w14:textFill>
                  <w14:solidFill>
                    <w14:schemeClr w14:val="tx1"/>
                  </w14:solidFill>
                </w14:textFill>
              </w:rPr>
              <w:t>保护</w:t>
            </w:r>
            <w:r>
              <w:rPr>
                <w:rFonts w:hint="eastAsia" w:ascii="仿宋" w:hAnsi="仿宋" w:eastAsia="仿宋" w:cs="仿宋"/>
                <w:color w:val="000000" w:themeColor="text1"/>
                <w:sz w:val="24"/>
                <w:szCs w:val="24"/>
                <w14:textFill>
                  <w14:solidFill>
                    <w14:schemeClr w14:val="tx1"/>
                  </w14:solidFill>
                </w14:textFill>
              </w:rPr>
              <w:t>红线</w:t>
            </w:r>
            <w:r>
              <w:rPr>
                <w:rFonts w:hint="eastAsia" w:ascii="仿宋" w:hAnsi="仿宋" w:eastAsia="仿宋" w:cs="仿宋"/>
                <w:color w:val="000000" w:themeColor="text1"/>
                <w:sz w:val="24"/>
                <w:szCs w:val="24"/>
                <w:lang w:val="en-US" w:eastAsia="zh-CN"/>
                <w14:textFill>
                  <w14:solidFill>
                    <w14:schemeClr w14:val="tx1"/>
                  </w14:solidFill>
                </w14:textFill>
              </w:rPr>
              <w:t>和永久基本农田</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根据《弥渡县林业和草原局</w:t>
            </w:r>
            <w:r>
              <w:rPr>
                <w:rFonts w:hint="eastAsia" w:ascii="仿宋" w:hAnsi="仿宋" w:eastAsia="仿宋" w:cs="仿宋"/>
                <w:color w:val="000000" w:themeColor="text1"/>
                <w:sz w:val="24"/>
                <w:szCs w:val="24"/>
                <w:highlight w:val="yellow"/>
                <w:lang w:val="en-US" w:eastAsia="zh-CN"/>
                <w14:textFill>
                  <w14:solidFill>
                    <w14:schemeClr w14:val="tx1"/>
                  </w14:solidFill>
                </w14:textFill>
              </w:rPr>
              <w:t>关于</w:t>
            </w:r>
            <w:r>
              <w:rPr>
                <w:rFonts w:hint="eastAsia" w:ascii="仿宋" w:hAnsi="仿宋" w:eastAsia="仿宋" w:cs="仿宋"/>
                <w:color w:val="000000" w:themeColor="text1"/>
                <w:sz w:val="24"/>
                <w:szCs w:val="24"/>
                <w:highlight w:val="yellow"/>
                <w:lang w:val="en-US" w:eastAsia="zh-CN"/>
                <w14:textFill>
                  <w14:solidFill>
                    <w14:schemeClr w14:val="tx1"/>
                  </w14:solidFill>
                </w14:textFill>
              </w:rPr>
              <w:t>“千乡万村驭风行动”莲峰村项目</w:t>
            </w:r>
            <w:r>
              <w:rPr>
                <w:rFonts w:hint="eastAsia" w:ascii="仿宋" w:hAnsi="仿宋" w:eastAsia="仿宋" w:cs="仿宋"/>
                <w:color w:val="000000" w:themeColor="text1"/>
                <w:sz w:val="24"/>
                <w:szCs w:val="24"/>
                <w:lang w:val="en-US" w:eastAsia="zh-CN"/>
                <w14:textFill>
                  <w14:solidFill>
                    <w14:schemeClr w14:val="tx1"/>
                  </w14:solidFill>
                </w14:textFill>
              </w:rPr>
              <w:t>选址意见的复函》，莲峰村项目选址矢量范围内不涉及弥渡县各类自然保护地、2021年湿地监测数据中的湿地、重点国有林区、国家级和省级公益林、年降水量400毫米以下区域的乔木林地、基本草原、野生动物重要栖息地(迁徙通道)及其他集群活动区域。其他涉林草基本情况为:</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莲峰村项目选址矢量范围面积0.3569公顷，地类均为乔木林地，林地保护等级为I级，森林类别为商品林，林地中涉及乔木林平均单位面积蓄积量超过弥渡县乔木林平均单位面积蓄积量150%的林地0.2729公顷。</w:t>
            </w:r>
          </w:p>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 xml:space="preserve">1.7 </w:t>
            </w:r>
            <w:r>
              <w:rPr>
                <w:rFonts w:hint="eastAsia" w:ascii="仿宋" w:hAnsi="仿宋" w:eastAsia="仿宋" w:cs="仿宋"/>
                <w:b/>
                <w:bCs/>
                <w:color w:val="000000" w:themeColor="text1"/>
                <w:sz w:val="24"/>
                <w:szCs w:val="24"/>
                <w14:textFill>
                  <w14:solidFill>
                    <w14:schemeClr w14:val="tx1"/>
                  </w14:solidFill>
                </w14:textFill>
              </w:rPr>
              <w:t>评价区主要生态环境问题</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国家林草局、农业农村部等六部门共同发布的《重点管理外来入侵物种名录》，评价区需要重点管理的入侵植物有4种，即藿香蓟、假臭草、紫茎泽兰、鬼针草，在山坡荒地中、林下、林缘和路旁较为常见，均为无意引入的外来物种。紫茎泽兰生长繁殖能力较强，在评价林下分布较多，对局部生物多样性产生一定影响，施工期需要严格做好防护，避免导致其扩散；藿香蓟、假臭草、鬼针草分布于草地当中且个体数量不大，未形成单一优势群落，对当地的生态系统和物种尚未发现产生不利影响。</w:t>
            </w:r>
          </w:p>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2、环境空气质量现状</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项目位于弥渡县密祉镇莲峰村东侧老鸦山</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为农村地区，根据《环境空气质量标准》（</w:t>
            </w:r>
            <w:r>
              <w:rPr>
                <w:rFonts w:hint="default" w:ascii="仿宋" w:hAnsi="仿宋" w:eastAsia="仿宋" w:cs="仿宋"/>
                <w:color w:val="000000" w:themeColor="text1"/>
                <w:sz w:val="24"/>
                <w:szCs w:val="24"/>
                <w:lang w:val="en-US" w:eastAsia="zh-CN"/>
                <w14:textFill>
                  <w14:solidFill>
                    <w14:schemeClr w14:val="tx1"/>
                  </w14:solidFill>
                </w14:textFill>
              </w:rPr>
              <w:t>GB3095-2012</w:t>
            </w:r>
            <w:r>
              <w:rPr>
                <w:rFonts w:hint="eastAsia" w:ascii="仿宋" w:hAnsi="仿宋" w:eastAsia="仿宋" w:cs="仿宋"/>
                <w:color w:val="000000" w:themeColor="text1"/>
                <w:sz w:val="24"/>
                <w:szCs w:val="24"/>
                <w:lang w:val="en-US" w:eastAsia="zh-CN"/>
                <w14:textFill>
                  <w14:solidFill>
                    <w14:schemeClr w14:val="tx1"/>
                  </w14:solidFill>
                </w14:textFill>
              </w:rPr>
              <w:t>）及其修改单规定，环境空气质量功能区划为二类区，执行《环境空气质量标准》（</w:t>
            </w:r>
            <w:r>
              <w:rPr>
                <w:rFonts w:hint="default" w:ascii="仿宋" w:hAnsi="仿宋" w:eastAsia="仿宋" w:cs="仿宋"/>
                <w:color w:val="000000" w:themeColor="text1"/>
                <w:sz w:val="24"/>
                <w:szCs w:val="24"/>
                <w:lang w:val="en-US" w:eastAsia="zh-CN"/>
                <w14:textFill>
                  <w14:solidFill>
                    <w14:schemeClr w14:val="tx1"/>
                  </w14:solidFill>
                </w14:textFill>
              </w:rPr>
              <w:t>GB3095-2012</w:t>
            </w:r>
            <w:r>
              <w:rPr>
                <w:rFonts w:hint="eastAsia" w:ascii="仿宋" w:hAnsi="仿宋" w:eastAsia="仿宋" w:cs="仿宋"/>
                <w:color w:val="000000" w:themeColor="text1"/>
                <w:sz w:val="24"/>
                <w:szCs w:val="24"/>
                <w:lang w:val="en-US" w:eastAsia="zh-CN"/>
                <w14:textFill>
                  <w14:solidFill>
                    <w14:schemeClr w14:val="tx1"/>
                  </w14:solidFill>
                </w14:textFill>
              </w:rPr>
              <w:t>）及其修改单中的二级标准。</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大理白族自治州2024年生态环境状况公报》，2024年大理州环境空气质量总体良好，12县（市）优良天数比例在99.7%～100%之间，平均优良天数比例为99.9%，较上年上升1.3%。大理州12县（市）可吸入颗粒物、二氧化氮等6项污染物年均值和相应特定百分位数浓度均达到或优于《环境空气质量标准》（GB3095—2012）的二级标准要求，其中二氧化氮年均浓度、二氧化氮特定百分位数、二氧化硫年均浓度、可吸入颗粒物年均浓度及一氧化碳特定百分位数均符合一级标准；按县（市）分别评价，12县（市）均符合二级标准。</w:t>
            </w:r>
          </w:p>
          <w:p>
            <w:pPr>
              <w:spacing w:line="360" w:lineRule="auto"/>
              <w:ind w:firstLine="0" w:firstLineChars="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083050" cy="5083175"/>
                  <wp:effectExtent l="0" t="0" r="12700" b="3175"/>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pic:cNvPicPr>
                            <a:picLocks noChangeAspect="1"/>
                          </pic:cNvPicPr>
                        </pic:nvPicPr>
                        <pic:blipFill>
                          <a:blip r:embed="rId15"/>
                          <a:stretch>
                            <a:fillRect/>
                          </a:stretch>
                        </pic:blipFill>
                        <pic:spPr>
                          <a:xfrm>
                            <a:off x="0" y="0"/>
                            <a:ext cx="4083050" cy="5083175"/>
                          </a:xfrm>
                          <a:prstGeom prst="rect">
                            <a:avLst/>
                          </a:prstGeom>
                          <a:noFill/>
                          <a:ln>
                            <a:noFill/>
                          </a:ln>
                        </pic:spPr>
                      </pic:pic>
                    </a:graphicData>
                  </a:graphic>
                </wp:inline>
              </w:drawing>
            </w:r>
          </w:p>
          <w:p>
            <w:pPr>
              <w:spacing w:line="360" w:lineRule="auto"/>
              <w:ind w:left="0" w:leftChars="0" w:firstLine="0" w:firstLineChars="0"/>
              <w:jc w:val="center"/>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图3-</w:t>
            </w:r>
            <w:r>
              <w:rPr>
                <w:rFonts w:hint="eastAsia" w:ascii="仿宋" w:hAnsi="仿宋" w:eastAsia="仿宋" w:cs="仿宋"/>
                <w:b/>
                <w:bCs/>
                <w:color w:val="000000" w:themeColor="text1"/>
                <w:sz w:val="24"/>
                <w:szCs w:val="24"/>
                <w:lang w:val="en-US" w:eastAsia="zh-CN"/>
                <w14:textFill>
                  <w14:solidFill>
                    <w14:schemeClr w14:val="tx1"/>
                  </w14:solidFill>
                </w14:textFill>
              </w:rPr>
              <w:t>1</w:t>
            </w:r>
            <w:r>
              <w:rPr>
                <w:rFonts w:hint="eastAsia" w:ascii="仿宋" w:hAnsi="仿宋" w:eastAsia="仿宋" w:cs="仿宋"/>
                <w:b/>
                <w:bCs/>
                <w:color w:val="000000" w:themeColor="text1"/>
                <w:sz w:val="24"/>
                <w:szCs w:val="24"/>
                <w14:textFill>
                  <w14:solidFill>
                    <w14:schemeClr w14:val="tx1"/>
                  </w14:solidFill>
                </w14:textFill>
              </w:rPr>
              <w:t xml:space="preserve">  </w:t>
            </w:r>
            <w:r>
              <w:rPr>
                <w:rFonts w:hint="eastAsia" w:ascii="仿宋" w:hAnsi="仿宋" w:eastAsia="仿宋" w:cs="仿宋"/>
                <w:b/>
                <w:bCs/>
                <w:color w:val="000000" w:themeColor="text1"/>
                <w:sz w:val="24"/>
                <w:szCs w:val="24"/>
                <w:lang w:val="en-US" w:eastAsia="zh-CN"/>
                <w14:textFill>
                  <w14:solidFill>
                    <w14:schemeClr w14:val="tx1"/>
                  </w14:solidFill>
                </w14:textFill>
              </w:rPr>
              <w:t>弥渡</w:t>
            </w:r>
            <w:r>
              <w:rPr>
                <w:rFonts w:hint="eastAsia" w:ascii="仿宋" w:hAnsi="仿宋" w:eastAsia="仿宋" w:cs="仿宋"/>
                <w:b/>
                <w:bCs/>
                <w:color w:val="000000" w:themeColor="text1"/>
                <w:sz w:val="24"/>
                <w:szCs w:val="24"/>
                <w14:textFill>
                  <w14:solidFill>
                    <w14:schemeClr w14:val="tx1"/>
                  </w14:solidFill>
                </w14:textFill>
              </w:rPr>
              <w:t>县城市空气</w:t>
            </w:r>
            <w:r>
              <w:rPr>
                <w:rFonts w:hint="eastAsia" w:ascii="仿宋" w:hAnsi="仿宋" w:eastAsia="仿宋" w:cs="仿宋"/>
                <w:b/>
                <w:bCs/>
                <w:color w:val="000000" w:themeColor="text1"/>
                <w:sz w:val="24"/>
                <w:szCs w:val="24"/>
                <w:lang w:val="en-US" w:eastAsia="zh-CN"/>
                <w14:textFill>
                  <w14:solidFill>
                    <w14:schemeClr w14:val="tx1"/>
                  </w14:solidFill>
                </w14:textFill>
              </w:rPr>
              <w:t>质量图</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根据现场调查，项目区域周边无工厂企业分布，总体来说，项目所在区域大气环境质量基本保持天然状况，可达到《环境空气质量标准》（GB3095-2012）二级标准要求。</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因此，项目所在</w:t>
            </w:r>
            <w:r>
              <w:rPr>
                <w:rFonts w:hint="eastAsia" w:ascii="仿宋" w:hAnsi="仿宋" w:eastAsia="仿宋" w:cs="仿宋"/>
                <w:color w:val="000000" w:themeColor="text1"/>
                <w:sz w:val="24"/>
                <w:szCs w:val="24"/>
                <w:lang w:val="en-US" w:eastAsia="zh-CN"/>
                <w14:textFill>
                  <w14:solidFill>
                    <w14:schemeClr w14:val="tx1"/>
                  </w14:solidFill>
                </w14:textFill>
              </w:rPr>
              <w:t>区域</w:t>
            </w:r>
            <w:r>
              <w:rPr>
                <w:rFonts w:hint="eastAsia" w:ascii="仿宋" w:hAnsi="仿宋" w:eastAsia="仿宋" w:cs="仿宋"/>
                <w:color w:val="000000" w:themeColor="text1"/>
                <w:sz w:val="24"/>
                <w:szCs w:val="24"/>
                <w14:textFill>
                  <w14:solidFill>
                    <w14:schemeClr w14:val="tx1"/>
                  </w14:solidFill>
                </w14:textFill>
              </w:rPr>
              <w:t>为环境空气质量达标区。</w:t>
            </w:r>
          </w:p>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3、地表水环境质量现状</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bookmarkStart w:id="20" w:name="OLE_LINK6"/>
            <w:r>
              <w:rPr>
                <w:rFonts w:hint="eastAsia" w:ascii="仿宋" w:hAnsi="仿宋" w:eastAsia="仿宋" w:cs="仿宋"/>
                <w:color w:val="000000" w:themeColor="text1"/>
                <w:sz w:val="24"/>
                <w:szCs w:val="24"/>
                <w:lang w:val="en-US" w:eastAsia="zh-CN"/>
                <w14:textFill>
                  <w14:solidFill>
                    <w14:schemeClr w14:val="tx1"/>
                  </w14:solidFill>
                </w14:textFill>
              </w:rPr>
              <w:t>项目周边地表水体主要有星峰水库、大沟、密祉河、毗雄河及礼社江。其中星峰水库位于项目开关站直线距离约1.2km处；项目区最近地表水体为大沟，大沟隶属于密祉河上游水系，密祉河自西向东汇入毗雄河，毗雄河自北向南最终汇入礼社江。</w:t>
            </w:r>
          </w:p>
          <w:bookmarkEnd w:id="20"/>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依据《云南省地表水水环境功能区划（2010~2020）》，毗雄河水体功能定位为工业用水、农业用水，区划水质为Ⅳ类；而根据《弥渡县毗雄河水体达标方案（2016-2020）》，毗雄河管控水质执行Ⅲ类标准。</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礼社江距项目最近水质监测断面为龙树河监测断面，据《大理白族自治州2024年生态环境状况公报》，礼社江（元江源头）龙树桥断面水质为Ⅲ类，满足水质目标要求；毗雄河弥渡县出境断面现状水质为Ⅳ类，未能达到既定水质管控目标要求。</w:t>
            </w:r>
          </w:p>
          <w:p>
            <w:pPr>
              <w:bidi w:val="0"/>
              <w:spacing w:line="360" w:lineRule="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4、声环境质量现状</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项目位于弥渡县密祉镇莲峰村东侧老鸦山</w:t>
            </w:r>
            <w:r>
              <w:rPr>
                <w:rFonts w:hint="eastAsia" w:ascii="仿宋" w:hAnsi="仿宋" w:eastAsia="仿宋" w:cs="仿宋"/>
                <w:color w:val="000000" w:themeColor="text1"/>
                <w:sz w:val="24"/>
                <w:szCs w:val="24"/>
                <w14:textFill>
                  <w14:solidFill>
                    <w14:schemeClr w14:val="tx1"/>
                  </w14:solidFill>
                </w14:textFill>
              </w:rPr>
              <w:t>，根据现场调查，项目区位于农村地区，属于1类声环境功能区，执行《声环境质量标准》（GB 3096-2008）1类标准。</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根据《大理白族自治州2024年生态环境状况公报》</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弥渡县总体水平等级为一级，区域声环境质量为“好”</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监测结果如下：</w:t>
            </w:r>
          </w:p>
          <w:p>
            <w:pPr>
              <w:bidi w:val="0"/>
              <w:spacing w:line="360" w:lineRule="auto"/>
              <w:ind w:left="0" w:leftChars="0" w:firstLine="0" w:firstLineChars="0"/>
              <w:jc w:val="center"/>
              <w:rPr>
                <w:rFonts w:hint="eastAsia" w:ascii="仿宋" w:hAnsi="仿宋" w:eastAsia="仿宋" w:cs="仿宋"/>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547370</wp:posOffset>
                      </wp:positionH>
                      <wp:positionV relativeFrom="paragraph">
                        <wp:posOffset>2660015</wp:posOffset>
                      </wp:positionV>
                      <wp:extent cx="3763645" cy="332740"/>
                      <wp:effectExtent l="4445" t="4445" r="22860" b="5715"/>
                      <wp:wrapNone/>
                      <wp:docPr id="3" name="文本框 3"/>
                      <wp:cNvGraphicFramePr/>
                      <a:graphic xmlns:a="http://schemas.openxmlformats.org/drawingml/2006/main">
                        <a:graphicData uri="http://schemas.microsoft.com/office/word/2010/wordprocessingShape">
                          <wps:wsp>
                            <wps:cNvSpPr txBox="1"/>
                            <wps:spPr>
                              <a:xfrm>
                                <a:off x="2011680" y="3651885"/>
                                <a:ext cx="3763645" cy="33274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pt;margin-top:209.45pt;height:26.2pt;width:296.35pt;z-index:251663360;mso-width-relative:page;mso-height-relative:page;" filled="f" stroked="t" coordsize="21600,21600" o:gfxdata="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jY&#10;4JLWAAAACgEAAA8AAAAAAAAAAQAgAAAAIgAAAGRycy9kb3ducmV2LnhtbFBLAQIUABQAAAAIAIdO&#10;4kBFEwA2XgIAAJsEAAAOAAAAAAAAAAEAIAAAACUBAABkcnMvZTJvRG9jLnhtbFBLBQYAAAAABgAG&#10;AFkBAAD1BQAAAAA=&#10;">
                      <v:fill on="f" focussize="0,0"/>
                      <v:stroke weight="0.5pt" color="#FF0000 [3204]" joinstyle="round"/>
                      <v:imagedata o:title=""/>
                      <o:lock v:ext="edit" aspectratio="f"/>
                      <v:textbox>
                        <w:txbxContent>
                          <w:p/>
                        </w:txbxContent>
                      </v:textbox>
                    </v:shape>
                  </w:pict>
                </mc:Fallback>
              </mc:AlternateContent>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262755" cy="4933315"/>
                  <wp:effectExtent l="0" t="0" r="4445" b="635"/>
                  <wp:docPr id="1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8"/>
                          <pic:cNvPicPr>
                            <a:picLocks noChangeAspect="1"/>
                          </pic:cNvPicPr>
                        </pic:nvPicPr>
                        <pic:blipFill>
                          <a:blip r:embed="rId16"/>
                          <a:stretch>
                            <a:fillRect/>
                          </a:stretch>
                        </pic:blipFill>
                        <pic:spPr>
                          <a:xfrm>
                            <a:off x="0" y="0"/>
                            <a:ext cx="4262755" cy="4933315"/>
                          </a:xfrm>
                          <a:prstGeom prst="rect">
                            <a:avLst/>
                          </a:prstGeom>
                          <a:noFill/>
                          <a:ln>
                            <a:noFill/>
                          </a:ln>
                        </pic:spPr>
                      </pic:pic>
                    </a:graphicData>
                  </a:graphic>
                </wp:inline>
              </w:drawing>
            </w:r>
          </w:p>
          <w:p>
            <w:pPr>
              <w:spacing w:line="360" w:lineRule="auto"/>
              <w:ind w:firstLine="48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本项目周边</w:t>
            </w:r>
            <w:r>
              <w:rPr>
                <w:rFonts w:hint="default" w:ascii="仿宋" w:hAnsi="仿宋" w:eastAsia="仿宋" w:cs="仿宋"/>
                <w:color w:val="000000" w:themeColor="text1"/>
                <w:sz w:val="24"/>
                <w:szCs w:val="24"/>
                <w:lang w:val="en-US" w:eastAsia="zh-CN"/>
                <w14:textFill>
                  <w14:solidFill>
                    <w14:schemeClr w14:val="tx1"/>
                  </w14:solidFill>
                </w14:textFill>
              </w:rPr>
              <w:t>50m</w:t>
            </w:r>
            <w:r>
              <w:rPr>
                <w:rFonts w:hint="eastAsia" w:ascii="仿宋" w:hAnsi="仿宋" w:eastAsia="仿宋" w:cs="仿宋"/>
                <w:color w:val="000000" w:themeColor="text1"/>
                <w:sz w:val="24"/>
                <w:szCs w:val="24"/>
                <w:lang w:val="en-US" w:eastAsia="zh-CN"/>
                <w14:textFill>
                  <w14:solidFill>
                    <w14:schemeClr w14:val="tx1"/>
                  </w14:solidFill>
                </w14:textFill>
              </w:rPr>
              <w:t>范围内无声环境保护目标，西北侧为星锋水库、东侧、南 侧紧邻道路，周边无重大噪声源，声环境质量现状一般。</w:t>
            </w:r>
          </w:p>
          <w:p>
            <w:pPr>
              <w:spacing w:line="360" w:lineRule="auto"/>
              <w:ind w:firstLine="48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5、电磁环境</w:t>
            </w:r>
          </w:p>
          <w:p>
            <w:pPr>
              <w:spacing w:before="38" w:line="360" w:lineRule="auto"/>
              <w:ind w:left="55" w:firstLine="483"/>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根据《环境影响评价技术导则 输变电》（HJ24-2020），</w:t>
            </w:r>
            <w:r>
              <w:rPr>
                <w:rFonts w:hint="eastAsia" w:ascii="仿宋" w:hAnsi="仿宋" w:eastAsia="仿宋" w:cs="仿宋"/>
                <w:color w:val="000000" w:themeColor="text1"/>
                <w:sz w:val="24"/>
                <w:szCs w:val="24"/>
                <w:lang w:val="en-US" w:eastAsia="zh-CN"/>
                <w14:textFill>
                  <w14:solidFill>
                    <w14:schemeClr w14:val="tx1"/>
                  </w14:solidFill>
                </w14:textFill>
              </w:rPr>
              <w:t>本项目可对电磁环境不评价，</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6、地下水环境和土壤质量现状</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根据《环境影响评价技术导则 地下水环境》（HJ 610-2016）附录A，项目属于“34、其他能源发电”中的“</w:t>
            </w:r>
            <w:r>
              <w:rPr>
                <w:rFonts w:hint="eastAsia" w:ascii="仿宋" w:hAnsi="仿宋" w:eastAsia="仿宋" w:cs="仿宋"/>
                <w:color w:val="000000" w:themeColor="text1"/>
                <w:sz w:val="24"/>
                <w:szCs w:val="24"/>
                <w:lang w:val="en-US" w:eastAsia="zh-CN"/>
                <w14:textFill>
                  <w14:solidFill>
                    <w14:schemeClr w14:val="tx1"/>
                  </w14:solidFill>
                </w14:textFill>
              </w:rPr>
              <w:t>风力发电</w:t>
            </w:r>
            <w:r>
              <w:rPr>
                <w:rFonts w:hint="eastAsia" w:ascii="仿宋" w:hAnsi="仿宋" w:eastAsia="仿宋" w:cs="仿宋"/>
                <w:color w:val="000000" w:themeColor="text1"/>
                <w:sz w:val="24"/>
                <w:szCs w:val="24"/>
                <w14:textFill>
                  <w14:solidFill>
                    <w14:schemeClr w14:val="tx1"/>
                  </w14:solidFill>
                </w14:textFill>
              </w:rPr>
              <w:t>”，项目类别均属于“Ⅳ类”，Ⅳ类建设项目可不开展地下水环境影响评价。</w:t>
            </w:r>
          </w:p>
          <w:p>
            <w:pPr>
              <w:spacing w:line="360" w:lineRule="auto"/>
              <w:ind w:firstLine="480" w:firstLineChars="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根据《环境影响评价技术导则 土壤环境（试行）》（HJ 964-2018）附录A，项目属于“其他行业”，项目类别为“Ⅳ类”，Ⅳ类建设项目可不开展土壤环境影响评价。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17"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与项目有关的原有环境污染和生态破坏问题</w:t>
            </w:r>
          </w:p>
        </w:tc>
        <w:tc>
          <w:tcPr>
            <w:tcW w:w="8340" w:type="dxa"/>
            <w:noWrap w:val="0"/>
            <w:vAlign w:val="center"/>
          </w:tcPr>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本项目为新建风电场项目，现状尚未开工建设，无原有污染排放源、无</w:t>
            </w:r>
            <w:r>
              <w:rPr>
                <w:rFonts w:hint="eastAsia" w:ascii="仿宋" w:hAnsi="仿宋" w:eastAsia="仿宋" w:cs="仿宋"/>
                <w:color w:val="000000" w:themeColor="text1"/>
                <w:spacing w:val="-11"/>
                <w:sz w:val="24"/>
                <w:szCs w:val="24"/>
                <w:lang w:val="en-US" w:eastAsia="zh-CN"/>
                <w14:textFill>
                  <w14:solidFill>
                    <w14:schemeClr w14:val="tx1"/>
                  </w14:solidFill>
                </w14:textFill>
              </w:rPr>
              <w:t>历史生态破坏行为，不存在与本项目直接相关的原有环境污染和生态破坏问题。</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项目所在区域存在区域性、次生性生态环境问题，具体如下：</w:t>
            </w:r>
          </w:p>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w:t>
            </w:r>
            <w:r>
              <w:rPr>
                <w:rFonts w:hint="eastAsia" w:ascii="仿宋" w:hAnsi="仿宋" w:eastAsia="仿宋" w:cs="仿宋"/>
                <w:b/>
                <w:bCs/>
                <w:color w:val="000000" w:themeColor="text1"/>
                <w:sz w:val="24"/>
                <w:szCs w:val="24"/>
                <w14:textFill>
                  <w14:solidFill>
                    <w14:schemeClr w14:val="tx1"/>
                  </w14:solidFill>
                </w14:textFill>
              </w:rPr>
              <w:t>外来入侵植物扩散，影响局部生物多样性</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评价区存在紫茎泽兰等外来入侵植物，主要分布于林缘、道路两侧、临时占地周边等人为主干扰地带。</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紫茎泽兰繁殖能力强、扩散快，在评价区林下分布较广，已对局部区域生物多样性产生一定影响。</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施工期需严格做好防护，避免人为扰动导致入侵植物进一步扩散。</w:t>
            </w:r>
          </w:p>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2、</w:t>
            </w:r>
            <w:r>
              <w:rPr>
                <w:rFonts w:hint="eastAsia" w:ascii="仿宋" w:hAnsi="仿宋" w:eastAsia="仿宋" w:cs="仿宋"/>
                <w:b/>
                <w:bCs/>
                <w:color w:val="000000" w:themeColor="text1"/>
                <w:sz w:val="24"/>
                <w:szCs w:val="24"/>
                <w14:textFill>
                  <w14:solidFill>
                    <w14:schemeClr w14:val="tx1"/>
                  </w14:solidFill>
                </w14:textFill>
              </w:rPr>
              <w:t>生态系统以次生植被为主，结构与稳定性一般</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评价区以次生云南松林、锥连栎灌丛、石栎灌丛为主要植被类型，无原生半湿润常绿阔叶林分布。</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植被受放牧、砍柴、割草等人为活动影响，群落结构相对单一，林下更新能力与抗逆能力有限。</w:t>
            </w:r>
          </w:p>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3、</w:t>
            </w:r>
            <w:r>
              <w:rPr>
                <w:rFonts w:hint="eastAsia" w:ascii="仿宋" w:hAnsi="仿宋" w:eastAsia="仿宋" w:cs="仿宋"/>
                <w:b/>
                <w:bCs/>
                <w:color w:val="000000" w:themeColor="text1"/>
                <w:sz w:val="24"/>
                <w:szCs w:val="24"/>
                <w14:textFill>
                  <w14:solidFill>
                    <w14:schemeClr w14:val="tx1"/>
                  </w14:solidFill>
                </w14:textFill>
              </w:rPr>
              <w:t>人为干扰持续存在，局部生态较为脆弱</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进场道路、</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、临时占地周边存在地表裸露、植被覆盖率偏低现象。</w:t>
            </w:r>
          </w:p>
          <w:p>
            <w:pPr>
              <w:spacing w:line="360" w:lineRule="auto"/>
              <w:ind w:firstLine="480" w:firstLineChars="0"/>
              <w:rPr>
                <w:rFonts w:hint="default" w:ascii="仿宋" w:hAnsi="仿宋" w:eastAsia="仿宋" w:cs="仿宋"/>
                <w:color w:val="000000" w:themeColor="text1"/>
                <w:sz w:val="24"/>
                <w:szCs w:val="24"/>
                <w:lang w:val="en-U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局部植被呈片段化分布，扰动后易发生退化且自然恢复缓慢，水源涵养、土壤保持等生态服务功能偏弱。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17"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生态环境保护目标</w:t>
            </w:r>
          </w:p>
        </w:tc>
        <w:tc>
          <w:tcPr>
            <w:tcW w:w="8340" w:type="dxa"/>
            <w:noWrap w:val="0"/>
            <w:vAlign w:val="center"/>
          </w:tcPr>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1、评价范围</w:t>
            </w:r>
          </w:p>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（1）生态环境</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根据《环境影响评价技术导则-生态影响》（HJ19-2022）中“6.2.1 生态影响评价应能够充分体现生态完整性和生物多样性保护要求，涵盖评价项目全部活动的直接影响区域和间接影响区域。本次生态评价范围的划定主要包括项目工程占地范围、全部活动的直接影响区域和间接影响区域，项目</w:t>
            </w:r>
            <w:r>
              <w:rPr>
                <w:rFonts w:hint="eastAsia" w:ascii="仿宋" w:hAnsi="仿宋" w:eastAsia="仿宋" w:cs="仿宋"/>
                <w:color w:val="000000" w:themeColor="text1"/>
                <w:sz w:val="24"/>
                <w:szCs w:val="24"/>
                <w:lang w:val="en-US" w:eastAsia="zh-CN"/>
                <w14:textFill>
                  <w14:solidFill>
                    <w14:schemeClr w14:val="tx1"/>
                  </w14:solidFill>
                </w14:textFill>
              </w:rPr>
              <w:t>机组</w:t>
            </w:r>
            <w:r>
              <w:rPr>
                <w:rFonts w:hint="eastAsia" w:ascii="仿宋" w:hAnsi="仿宋" w:eastAsia="仿宋" w:cs="仿宋"/>
                <w:color w:val="000000" w:themeColor="text1"/>
                <w:sz w:val="24"/>
                <w:szCs w:val="24"/>
                <w14:textFill>
                  <w14:solidFill>
                    <w14:schemeClr w14:val="tx1"/>
                  </w14:solidFill>
                </w14:textFill>
              </w:rPr>
              <w:t>、箱变、集电线路、施工临建设施等工程的生态评价范围为占地区和占地周边300m范围的区域。根据《环境影响评价技术导则输变电》（HJ24-2020</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开关</w:t>
            </w:r>
            <w:r>
              <w:rPr>
                <w:rFonts w:hint="eastAsia" w:ascii="仿宋" w:hAnsi="仿宋" w:eastAsia="仿宋" w:cs="仿宋"/>
                <w:color w:val="000000" w:themeColor="text1"/>
                <w:sz w:val="24"/>
                <w:szCs w:val="24"/>
                <w14:textFill>
                  <w14:solidFill>
                    <w14:schemeClr w14:val="tx1"/>
                  </w14:solidFill>
                </w14:textFill>
              </w:rPr>
              <w:t>站生态评价范围为站场边界或围墙外500m。生态环境保护目标是评价范围内的生态敏感区、自然植被、一般野生动物和重点保护野生动物。</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（2）大气环境</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根据《环境影响评价技术导则 大气环境》（HJ2.2-2018），工程为</w:t>
            </w:r>
            <w:r>
              <w:rPr>
                <w:rFonts w:hint="eastAsia" w:ascii="仿宋" w:hAnsi="仿宋" w:eastAsia="仿宋" w:cs="仿宋"/>
                <w:color w:val="000000" w:themeColor="text1"/>
                <w:sz w:val="24"/>
                <w:szCs w:val="24"/>
                <w:lang w:val="en-US" w:eastAsia="zh-CN"/>
                <w14:textFill>
                  <w14:solidFill>
                    <w14:schemeClr w14:val="tx1"/>
                  </w14:solidFill>
                </w14:textFill>
              </w:rPr>
              <w:t>风电</w:t>
            </w:r>
            <w:r>
              <w:rPr>
                <w:rFonts w:hint="eastAsia" w:ascii="仿宋" w:hAnsi="仿宋" w:eastAsia="仿宋" w:cs="仿宋"/>
                <w:color w:val="000000" w:themeColor="text1"/>
                <w:sz w:val="24"/>
                <w:szCs w:val="24"/>
                <w14:textFill>
                  <w14:solidFill>
                    <w14:schemeClr w14:val="tx1"/>
                  </w14:solidFill>
                </w14:textFill>
              </w:rPr>
              <w:t>项目，运营期无生产废气产生，不需设置大气环境影响评价范围</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考虑到施工期粉尘的影响范围，本次</w:t>
            </w:r>
            <w:r>
              <w:rPr>
                <w:rFonts w:hint="eastAsia" w:ascii="仿宋" w:hAnsi="仿宋" w:eastAsia="仿宋" w:cs="仿宋"/>
                <w:color w:val="000000" w:themeColor="text1"/>
                <w:sz w:val="24"/>
                <w:szCs w:val="24"/>
                <w:lang w:val="en-US" w:eastAsia="zh-CN"/>
                <w14:textFill>
                  <w14:solidFill>
                    <w14:schemeClr w14:val="tx1"/>
                  </w14:solidFill>
                </w14:textFill>
              </w:rPr>
              <w:t>将施工期叶片运输线路沿线2</w:t>
            </w:r>
            <w:r>
              <w:rPr>
                <w:rFonts w:hint="eastAsia" w:ascii="仿宋" w:hAnsi="仿宋" w:eastAsia="仿宋" w:cs="仿宋"/>
                <w:color w:val="000000" w:themeColor="text1"/>
                <w:sz w:val="24"/>
                <w:szCs w:val="24"/>
                <w14:textFill>
                  <w14:solidFill>
                    <w14:schemeClr w14:val="tx1"/>
                  </w14:solidFill>
                </w14:textFill>
              </w:rPr>
              <w:t>00m范围内的保护目标，</w:t>
            </w:r>
            <w:r>
              <w:rPr>
                <w:rFonts w:hint="eastAsia" w:ascii="仿宋" w:hAnsi="仿宋" w:eastAsia="仿宋" w:cs="仿宋"/>
                <w:color w:val="000000" w:themeColor="text1"/>
                <w:sz w:val="24"/>
                <w:szCs w:val="24"/>
                <w:lang w:val="en-US" w:eastAsia="zh-CN"/>
                <w14:textFill>
                  <w14:solidFill>
                    <w14:schemeClr w14:val="tx1"/>
                  </w14:solidFill>
                </w14:textFill>
              </w:rPr>
              <w:t>运输线路沿线2</w:t>
            </w:r>
            <w:r>
              <w:rPr>
                <w:rFonts w:hint="eastAsia" w:ascii="仿宋" w:hAnsi="仿宋" w:eastAsia="仿宋" w:cs="仿宋"/>
                <w:color w:val="000000" w:themeColor="text1"/>
                <w:sz w:val="24"/>
                <w:szCs w:val="24"/>
                <w14:textFill>
                  <w14:solidFill>
                    <w14:schemeClr w14:val="tx1"/>
                  </w14:solidFill>
                </w14:textFill>
              </w:rPr>
              <w:t>00m范围内的环境空气保护目标主要为人群较集中的村庄。</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（3）声环境</w:t>
            </w:r>
          </w:p>
          <w:p>
            <w:pPr>
              <w:spacing w:line="360" w:lineRule="auto"/>
              <w:ind w:firstLine="480" w:firstLineChars="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根据《环境影响评价技术导则 声环境》（HJ2.4-2021），项目声环境评价范围为工程占地范围外200m范围内</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因项目运行期200m范围内无居民区等敏感目标，因此不设声环境保护目标</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此外，考虑到项目施工期运输叶片时将经过部分村庄，因此将运输道理沿线200m范围内居民区列为施工期环境保护目标。</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（4）电磁环境</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根据《环境影响评价技术导则 输变电》（HJ24-2020），项目电磁环境</w:t>
            </w:r>
            <w:r>
              <w:rPr>
                <w:rFonts w:hint="eastAsia" w:ascii="仿宋" w:hAnsi="仿宋" w:eastAsia="仿宋" w:cs="仿宋"/>
                <w:color w:val="000000" w:themeColor="text1"/>
                <w:sz w:val="24"/>
                <w:szCs w:val="24"/>
                <w:lang w:val="en-US" w:eastAsia="zh-CN"/>
                <w14:textFill>
                  <w14:solidFill>
                    <w14:schemeClr w14:val="tx1"/>
                  </w14:solidFill>
                </w14:textFill>
              </w:rPr>
              <w:t>无需评价，且项目200m内无居民区等敏感目标，因此无需设置电磁环境保护目标</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w:t>
            </w:r>
            <w:r>
              <w:rPr>
                <w:rFonts w:hint="eastAsia" w:ascii="仿宋" w:hAnsi="仿宋" w:eastAsia="仿宋" w:cs="仿宋"/>
                <w:b/>
                <w:bCs/>
                <w:color w:val="000000" w:themeColor="text1"/>
                <w:sz w:val="24"/>
                <w:szCs w:val="24"/>
                <w:lang w:val="en-US" w:eastAsia="zh-CN"/>
                <w14:textFill>
                  <w14:solidFill>
                    <w14:schemeClr w14:val="tx1"/>
                  </w14:solidFill>
                </w14:textFill>
              </w:rPr>
              <w:t xml:space="preserve">生态环境保护目标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项目占地范围不涉及国家公园、自然保护区、自然公园等自然保护地、世 界自然遗产、生态保护红线等区域，不涉及重要生境。本项目环境保护目标见下表。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center"/>
              <w:textAlignment w:val="auto"/>
              <w:rPr>
                <w:rFonts w:hint="eastAsia" w:ascii="仿宋" w:hAnsi="仿宋" w:eastAsia="仿宋" w:cs="仿宋"/>
                <w:b/>
                <w:bCs/>
                <w:color w:val="000000" w:themeColor="text1"/>
                <w:sz w:val="21"/>
                <w:szCs w:val="21"/>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表</w:t>
            </w:r>
            <w:r>
              <w:rPr>
                <w:rFonts w:hint="default" w:ascii="仿宋" w:hAnsi="仿宋" w:eastAsia="仿宋" w:cs="仿宋"/>
                <w:b/>
                <w:bCs/>
                <w:color w:val="000000" w:themeColor="text1"/>
                <w:sz w:val="21"/>
                <w:szCs w:val="21"/>
                <w:lang w:val="en-US" w:eastAsia="zh-CN"/>
                <w14:textFill>
                  <w14:solidFill>
                    <w14:schemeClr w14:val="tx1"/>
                  </w14:solidFill>
                </w14:textFill>
              </w:rPr>
              <w:t>3-</w:t>
            </w:r>
            <w:r>
              <w:rPr>
                <w:rFonts w:hint="eastAsia" w:ascii="仿宋" w:hAnsi="仿宋" w:eastAsia="仿宋" w:cs="仿宋"/>
                <w:b/>
                <w:bCs/>
                <w:color w:val="000000" w:themeColor="text1"/>
                <w:sz w:val="21"/>
                <w:szCs w:val="21"/>
                <w:lang w:val="en-US" w:eastAsia="zh-CN"/>
                <w14:textFill>
                  <w14:solidFill>
                    <w14:schemeClr w14:val="tx1"/>
                  </w14:solidFill>
                </w14:textFill>
              </w:rPr>
              <w:t>2项目环境保护目标一览表</w:t>
            </w:r>
          </w:p>
          <w:tbl>
            <w:tblPr>
              <w:tblStyle w:val="25"/>
              <w:tblW w:w="8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731"/>
              <w:gridCol w:w="564"/>
              <w:gridCol w:w="1179"/>
              <w:gridCol w:w="485"/>
              <w:gridCol w:w="925"/>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center"/>
                </w:tcPr>
                <w:p>
                  <w:pPr>
                    <w:autoSpaceDE w:val="0"/>
                    <w:autoSpaceDN w:val="0"/>
                    <w:adjustRightInd w:val="0"/>
                    <w:snapToGrid w:val="0"/>
                    <w:spacing w:line="240" w:lineRule="auto"/>
                    <w:jc w:val="cente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t>环境因子</w:t>
                  </w:r>
                </w:p>
              </w:tc>
              <w:tc>
                <w:tcPr>
                  <w:tcW w:w="1295" w:type="dxa"/>
                  <w:gridSpan w:val="2"/>
                  <w:noWrap w:val="0"/>
                  <w:vAlign w:val="center"/>
                </w:tcPr>
                <w:p>
                  <w:pPr>
                    <w:autoSpaceDE w:val="0"/>
                    <w:autoSpaceDN w:val="0"/>
                    <w:adjustRightInd w:val="0"/>
                    <w:snapToGrid w:val="0"/>
                    <w:spacing w:line="240" w:lineRule="auto"/>
                    <w:jc w:val="cente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t>保护目标</w:t>
                  </w:r>
                </w:p>
              </w:tc>
              <w:tc>
                <w:tcPr>
                  <w:tcW w:w="1179" w:type="dxa"/>
                  <w:noWrap w:val="0"/>
                  <w:vAlign w:val="center"/>
                </w:tcPr>
                <w:p>
                  <w:pPr>
                    <w:autoSpaceDE w:val="0"/>
                    <w:autoSpaceDN w:val="0"/>
                    <w:adjustRightInd w:val="0"/>
                    <w:snapToGrid w:val="0"/>
                    <w:spacing w:line="240" w:lineRule="auto"/>
                    <w:jc w:val="cente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t>距离</w:t>
                  </w:r>
                </w:p>
              </w:tc>
              <w:tc>
                <w:tcPr>
                  <w:tcW w:w="1410" w:type="dxa"/>
                  <w:gridSpan w:val="2"/>
                  <w:noWrap w:val="0"/>
                  <w:vAlign w:val="center"/>
                </w:tcPr>
                <w:p>
                  <w:pPr>
                    <w:autoSpaceDE w:val="0"/>
                    <w:autoSpaceDN w:val="0"/>
                    <w:adjustRightInd w:val="0"/>
                    <w:snapToGrid w:val="0"/>
                    <w:spacing w:line="240" w:lineRule="auto"/>
                    <w:jc w:val="center"/>
                    <w:rPr>
                      <w:rFonts w:hint="default" w:ascii="仿宋" w:hAnsi="仿宋" w:eastAsia="仿宋" w:cs="仿宋"/>
                      <w:b/>
                      <w:bCs/>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t>户数</w:t>
                  </w:r>
                  <w:r>
                    <w:rPr>
                      <w:rFonts w:hint="eastAsia" w:ascii="仿宋" w:hAnsi="仿宋" w:eastAsia="仿宋" w:cs="仿宋"/>
                      <w:b/>
                      <w:bCs/>
                      <w:color w:val="000000" w:themeColor="text1"/>
                      <w:kern w:val="0"/>
                      <w:sz w:val="21"/>
                      <w:szCs w:val="21"/>
                      <w:vertAlign w:val="baseline"/>
                      <w:lang w:val="en-US" w:eastAsia="zh-CN"/>
                      <w14:textFill>
                        <w14:solidFill>
                          <w14:schemeClr w14:val="tx1"/>
                        </w14:solidFill>
                      </w14:textFill>
                    </w:rPr>
                    <w:t>/人口</w:t>
                  </w:r>
                </w:p>
              </w:tc>
              <w:tc>
                <w:tcPr>
                  <w:tcW w:w="2840" w:type="dxa"/>
                  <w:noWrap w:val="0"/>
                  <w:vAlign w:val="center"/>
                </w:tcPr>
                <w:p>
                  <w:pPr>
                    <w:autoSpaceDE w:val="0"/>
                    <w:autoSpaceDN w:val="0"/>
                    <w:adjustRightInd w:val="0"/>
                    <w:snapToGrid w:val="0"/>
                    <w:spacing w:line="240" w:lineRule="auto"/>
                    <w:jc w:val="cente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b/>
                      <w:bCs/>
                      <w:color w:val="000000" w:themeColor="text1"/>
                      <w:kern w:val="0"/>
                      <w:sz w:val="21"/>
                      <w:szCs w:val="21"/>
                      <w:vertAlign w:val="baseline"/>
                      <w:lang w:eastAsia="zh-CN"/>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eastAsia="zh-CN"/>
                      <w14:textFill>
                        <w14:solidFill>
                          <w14:schemeClr w14:val="tx1"/>
                        </w14:solidFill>
                      </w14:textFill>
                    </w:rPr>
                    <w:t>大气环境</w:t>
                  </w:r>
                </w:p>
              </w:tc>
              <w:tc>
                <w:tcPr>
                  <w:tcW w:w="3884" w:type="dxa"/>
                  <w:gridSpan w:val="5"/>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500m</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范围内无大气环境保护目标</w:t>
                  </w:r>
                </w:p>
              </w:tc>
              <w:tc>
                <w:tcPr>
                  <w:tcW w:w="2840" w:type="dxa"/>
                  <w:noWrap w:val="0"/>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《环境空气质量标准》（</w:t>
                  </w: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GB3095-2012</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eastAsia="zh-CN"/>
                      <w14:textFill>
                        <w14:solidFill>
                          <w14:schemeClr w14:val="tx1"/>
                        </w14:solidFill>
                      </w14:textFill>
                    </w:rPr>
                    <w:t>声环境</w:t>
                  </w:r>
                </w:p>
              </w:tc>
              <w:tc>
                <w:tcPr>
                  <w:tcW w:w="3884" w:type="dxa"/>
                  <w:gridSpan w:val="5"/>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200</w:t>
                  </w: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m</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范围内无声环境保护目标</w:t>
                  </w:r>
                </w:p>
              </w:tc>
              <w:tc>
                <w:tcPr>
                  <w:tcW w:w="2840" w:type="dxa"/>
                  <w:noWrap w:val="0"/>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GB3096-2008</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《声环境质量标准》1</w:t>
                  </w: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Merge w:val="restart"/>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eastAsia="zh-CN"/>
                      <w14:textFill>
                        <w14:solidFill>
                          <w14:schemeClr w14:val="tx1"/>
                        </w14:solidFill>
                      </w14:textFill>
                    </w:rPr>
                    <w:t>地表水环境</w:t>
                  </w:r>
                </w:p>
              </w:tc>
              <w:tc>
                <w:tcPr>
                  <w:tcW w:w="1295" w:type="dxa"/>
                  <w:gridSpan w:val="2"/>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eastAsia="zh-CN"/>
                      <w14:textFill>
                        <w14:solidFill>
                          <w14:schemeClr w14:val="tx1"/>
                        </w14:solidFill>
                      </w14:textFill>
                    </w:rPr>
                    <w:t>大沟</w:t>
                  </w:r>
                </w:p>
              </w:tc>
              <w:tc>
                <w:tcPr>
                  <w:tcW w:w="2589" w:type="dxa"/>
                  <w:gridSpan w:val="3"/>
                  <w:noWrap w:val="0"/>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位于项目区西侧</w:t>
                  </w:r>
                </w:p>
              </w:tc>
              <w:tc>
                <w:tcPr>
                  <w:tcW w:w="2840" w:type="dxa"/>
                  <w:vMerge w:val="restart"/>
                  <w:noWrap w:val="0"/>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《地表水环境质量标准》（</w:t>
                  </w:r>
                  <w:r>
                    <w:rPr>
                      <w:rFonts w:hint="default" w:ascii="仿宋" w:hAnsi="仿宋" w:eastAsia="仿宋" w:cs="仿宋"/>
                      <w:color w:val="000000" w:themeColor="text1"/>
                      <w:kern w:val="0"/>
                      <w:sz w:val="21"/>
                      <w:szCs w:val="21"/>
                      <w:vertAlign w:val="baseline"/>
                      <w:lang w:val="en-US" w:eastAsia="zh-CN"/>
                      <w14:textFill>
                        <w14:solidFill>
                          <w14:schemeClr w14:val="tx1"/>
                        </w14:solidFill>
                      </w14:textFill>
                    </w:rPr>
                    <w:t>GB3838-2002</w:t>
                  </w: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vMerge w:val="continue"/>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14:textFill>
                        <w14:solidFill>
                          <w14:schemeClr w14:val="tx1"/>
                        </w14:solidFill>
                      </w14:textFill>
                    </w:rPr>
                  </w:pPr>
                </w:p>
              </w:tc>
              <w:tc>
                <w:tcPr>
                  <w:tcW w:w="1295" w:type="dxa"/>
                  <w:gridSpan w:val="2"/>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eastAsia="zh-CN"/>
                      <w14:textFill>
                        <w14:solidFill>
                          <w14:schemeClr w14:val="tx1"/>
                        </w14:solidFill>
                      </w14:textFill>
                    </w:rPr>
                    <w:t>星峰水库</w:t>
                  </w:r>
                </w:p>
              </w:tc>
              <w:tc>
                <w:tcPr>
                  <w:tcW w:w="2589" w:type="dxa"/>
                  <w:gridSpan w:val="3"/>
                  <w:noWrap w:val="0"/>
                  <w:vAlign w:val="center"/>
                </w:tcPr>
                <w:p>
                  <w:pPr>
                    <w:autoSpaceDE w:val="0"/>
                    <w:autoSpaceDN w:val="0"/>
                    <w:adjustRightInd w:val="0"/>
                    <w:snapToGrid w:val="0"/>
                    <w:spacing w:line="240" w:lineRule="auto"/>
                    <w:jc w:val="both"/>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项目开关站直线距离约 1.2km 处</w:t>
                  </w:r>
                </w:p>
              </w:tc>
              <w:tc>
                <w:tcPr>
                  <w:tcW w:w="2840" w:type="dxa"/>
                  <w:vMerge w:val="continue"/>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0" w:type="dxa"/>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eastAsia="zh-CN"/>
                      <w14:textFill>
                        <w14:solidFill>
                          <w14:schemeClr w14:val="tx1"/>
                        </w14:solidFill>
                      </w14:textFill>
                    </w:rPr>
                    <w:t>地下水环境</w:t>
                  </w:r>
                </w:p>
              </w:tc>
              <w:tc>
                <w:tcPr>
                  <w:tcW w:w="3884" w:type="dxa"/>
                  <w:gridSpan w:val="5"/>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项目评价区地下水含水层</w:t>
                  </w:r>
                </w:p>
              </w:tc>
              <w:tc>
                <w:tcPr>
                  <w:tcW w:w="2840" w:type="dxa"/>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val="en-US" w:eastAsia="zh-CN"/>
                      <w14:textFill>
                        <w14:solidFill>
                          <w14:schemeClr w14:val="tx1"/>
                        </w14:solidFill>
                      </w14:textFill>
                    </w:rPr>
                    <w:t>加强污染防控，落实基础防渗措施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00" w:type="dxa"/>
                  <w:vMerge w:val="restart"/>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r>
                    <w:rPr>
                      <w:rFonts w:hint="eastAsia" w:ascii="仿宋" w:hAnsi="仿宋" w:eastAsia="仿宋" w:cs="仿宋"/>
                      <w:color w:val="000000" w:themeColor="text1"/>
                      <w:kern w:val="0"/>
                      <w:sz w:val="21"/>
                      <w:szCs w:val="21"/>
                      <w:vertAlign w:val="baseline"/>
                      <w:lang w:eastAsia="zh-CN"/>
                      <w14:textFill>
                        <w14:solidFill>
                          <w14:schemeClr w14:val="tx1"/>
                        </w14:solidFill>
                      </w14:textFill>
                    </w:rPr>
                    <w:t>生态环境</w:t>
                  </w:r>
                </w:p>
              </w:tc>
              <w:tc>
                <w:tcPr>
                  <w:tcW w:w="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自然植被</w:t>
                  </w:r>
                </w:p>
              </w:tc>
              <w:tc>
                <w:tcPr>
                  <w:tcW w:w="222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针叶林、半湿润常绿阔叶林等自然植被</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评价范围内</w:t>
                  </w:r>
                </w:p>
              </w:tc>
              <w:tc>
                <w:tcPr>
                  <w:tcW w:w="2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保护工程所在区域生态系统的完整性、生物多样性，尽量降低对区域动植物的影响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00" w:type="dxa"/>
                  <w:vMerge w:val="continue"/>
                  <w:noWrap w:val="0"/>
                  <w:vAlign w:val="center"/>
                </w:tcPr>
                <w:p>
                  <w:pPr>
                    <w:autoSpaceDE w:val="0"/>
                    <w:autoSpaceDN w:val="0"/>
                    <w:adjustRightInd w:val="0"/>
                    <w:snapToGrid w:val="0"/>
                    <w:spacing w:line="240" w:lineRule="auto"/>
                    <w:jc w:val="center"/>
                    <w:rPr>
                      <w:rFonts w:hint="eastAsia" w:ascii="仿宋" w:hAnsi="仿宋" w:eastAsia="仿宋" w:cs="仿宋"/>
                      <w:color w:val="000000" w:themeColor="text1"/>
                      <w:kern w:val="0"/>
                      <w:sz w:val="21"/>
                      <w:szCs w:val="21"/>
                      <w:vertAlign w:val="baseline"/>
                      <w:lang w:eastAsia="zh-CN"/>
                      <w14:textFill>
                        <w14:solidFill>
                          <w14:schemeClr w14:val="tx1"/>
                        </w14:solidFill>
                      </w14:textFill>
                    </w:rPr>
                  </w:pPr>
                </w:p>
              </w:tc>
              <w:tc>
                <w:tcPr>
                  <w:tcW w:w="7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野生动物</w:t>
                  </w:r>
                </w:p>
              </w:tc>
              <w:tc>
                <w:tcPr>
                  <w:tcW w:w="222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哺乳类主要以小家鼠</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褐家鼠、</w:t>
                  </w:r>
                  <w:r>
                    <w:rPr>
                      <w:rFonts w:hint="eastAsia" w:ascii="仿宋" w:hAnsi="仿宋" w:eastAsia="仿宋" w:cs="仿宋"/>
                      <w:color w:val="000000" w:themeColor="text1"/>
                      <w:sz w:val="21"/>
                      <w:szCs w:val="21"/>
                      <w:lang w:val="en-US" w:eastAsia="zh-CN"/>
                      <w14:textFill>
                        <w14:solidFill>
                          <w14:schemeClr w14:val="tx1"/>
                        </w14:solidFill>
                      </w14:textFill>
                    </w:rPr>
                    <w:t>云南</w:t>
                  </w:r>
                  <w:r>
                    <w:rPr>
                      <w:rFonts w:hint="eastAsia" w:ascii="仿宋" w:hAnsi="仿宋" w:eastAsia="仿宋" w:cs="仿宋"/>
                      <w:color w:val="000000" w:themeColor="text1"/>
                      <w:sz w:val="21"/>
                      <w:szCs w:val="21"/>
                      <w14:textFill>
                        <w14:solidFill>
                          <w14:schemeClr w14:val="tx1"/>
                        </w14:solidFill>
                      </w14:textFill>
                    </w:rPr>
                    <w:t>兔</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lang w:val="en-US" w:eastAsia="zh-CN"/>
                      <w14:textFill>
                        <w14:solidFill>
                          <w14:schemeClr w14:val="tx1"/>
                        </w14:solidFill>
                      </w14:textFill>
                    </w:rPr>
                    <w:t>隐纹花鼠、赤腹松鼠等</w:t>
                  </w:r>
                  <w:r>
                    <w:rPr>
                      <w:rFonts w:hint="eastAsia" w:ascii="仿宋" w:hAnsi="仿宋" w:eastAsia="仿宋" w:cs="仿宋"/>
                      <w:color w:val="000000" w:themeColor="text1"/>
                      <w:sz w:val="21"/>
                      <w:szCs w:val="21"/>
                      <w14:textFill>
                        <w14:solidFill>
                          <w14:schemeClr w14:val="tx1"/>
                        </w14:solidFill>
                      </w14:textFill>
                    </w:rPr>
                    <w:t>；鸟类主要有</w:t>
                  </w:r>
                  <w:r>
                    <w:rPr>
                      <w:rFonts w:hint="eastAsia" w:ascii="仿宋" w:hAnsi="仿宋" w:eastAsia="仿宋" w:cs="仿宋"/>
                      <w:color w:val="000000" w:themeColor="text1"/>
                      <w:sz w:val="21"/>
                      <w:szCs w:val="21"/>
                      <w:lang w:val="en-US" w:eastAsia="zh-CN"/>
                      <w14:textFill>
                        <w14:solidFill>
                          <w14:schemeClr w14:val="tx1"/>
                        </w14:solidFill>
                      </w14:textFill>
                    </w:rPr>
                    <w:t>喜鹊、</w:t>
                  </w:r>
                  <w:r>
                    <w:rPr>
                      <w:rFonts w:hint="eastAsia" w:ascii="仿宋" w:hAnsi="仿宋" w:eastAsia="仿宋" w:cs="仿宋"/>
                      <w:color w:val="000000" w:themeColor="text1"/>
                      <w:sz w:val="21"/>
                      <w:szCs w:val="21"/>
                      <w14:textFill>
                        <w14:solidFill>
                          <w14:schemeClr w14:val="tx1"/>
                        </w14:solidFill>
                      </w14:textFill>
                    </w:rPr>
                    <w:t>麻雀</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家燕</w:t>
                  </w:r>
                  <w:r>
                    <w:rPr>
                      <w:rFonts w:hint="eastAsia" w:ascii="仿宋" w:hAnsi="仿宋" w:eastAsia="仿宋" w:cs="仿宋"/>
                      <w:color w:val="000000" w:themeColor="text1"/>
                      <w:sz w:val="21"/>
                      <w:szCs w:val="21"/>
                      <w:lang w:val="en-US"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珠颈斑鸠等；</w:t>
                  </w:r>
                  <w:r>
                    <w:rPr>
                      <w:rFonts w:hint="eastAsia" w:ascii="仿宋" w:hAnsi="仿宋" w:eastAsia="仿宋" w:cs="仿宋"/>
                      <w:color w:val="000000" w:themeColor="text1"/>
                      <w:sz w:val="21"/>
                      <w:szCs w:val="21"/>
                      <w:lang w:val="en-US" w:eastAsia="zh-CN"/>
                      <w14:textFill>
                        <w14:solidFill>
                          <w14:schemeClr w14:val="tx1"/>
                        </w14:solidFill>
                      </w14:textFill>
                    </w:rPr>
                    <w:t>爬行类主要有</w:t>
                  </w:r>
                  <w:r>
                    <w:rPr>
                      <w:rFonts w:hint="eastAsia" w:ascii="仿宋" w:hAnsi="仿宋" w:eastAsia="仿宋" w:cs="仿宋"/>
                      <w:color w:val="000000" w:themeColor="text1"/>
                      <w:sz w:val="21"/>
                      <w:szCs w:val="21"/>
                      <w14:textFill>
                        <w14:solidFill>
                          <w14:schemeClr w14:val="tx1"/>
                        </w14:solidFill>
                      </w14:textFill>
                    </w:rPr>
                    <w:t>中国壁虎</w:t>
                  </w:r>
                  <w:r>
                    <w:rPr>
                      <w:rFonts w:hint="eastAsia" w:ascii="仿宋" w:hAnsi="仿宋" w:eastAsia="仿宋" w:cs="仿宋"/>
                      <w:color w:val="000000" w:themeColor="text1"/>
                      <w:sz w:val="21"/>
                      <w:szCs w:val="21"/>
                      <w:lang w:val="en-US" w:eastAsia="zh-CN"/>
                      <w14:textFill>
                        <w14:solidFill>
                          <w14:schemeClr w14:val="tx1"/>
                        </w14:solidFill>
                      </w14:textFill>
                    </w:rPr>
                    <w:t>、黑眉锦蛇、</w:t>
                  </w:r>
                  <w:r>
                    <w:rPr>
                      <w:rFonts w:hint="eastAsia" w:ascii="仿宋" w:hAnsi="仿宋" w:eastAsia="仿宋" w:cs="仿宋"/>
                      <w:color w:val="000000" w:themeColor="text1"/>
                      <w:sz w:val="21"/>
                      <w:szCs w:val="21"/>
                      <w14:textFill>
                        <w14:solidFill>
                          <w14:schemeClr w14:val="tx1"/>
                        </w14:solidFill>
                      </w14:textFill>
                    </w:rPr>
                    <w:t>铜蜓蜥</w:t>
                  </w:r>
                  <w:r>
                    <w:rPr>
                      <w:rFonts w:hint="eastAsia" w:ascii="仿宋" w:hAnsi="仿宋" w:eastAsia="仿宋" w:cs="仿宋"/>
                      <w:color w:val="000000" w:themeColor="text1"/>
                      <w:sz w:val="21"/>
                      <w:szCs w:val="21"/>
                      <w:lang w:val="en-US" w:eastAsia="zh-CN"/>
                      <w14:textFill>
                        <w14:solidFill>
                          <w14:schemeClr w14:val="tx1"/>
                        </w14:solidFill>
                      </w14:textFill>
                    </w:rPr>
                    <w:t>等</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两栖类动物有</w:t>
                  </w:r>
                  <w:r>
                    <w:rPr>
                      <w:rFonts w:hint="eastAsia" w:ascii="仿宋" w:hAnsi="仿宋" w:eastAsia="仿宋" w:cs="仿宋"/>
                      <w:color w:val="000000" w:themeColor="text1"/>
                      <w:sz w:val="21"/>
                      <w:szCs w:val="21"/>
                      <w:lang w:val="en-US" w:eastAsia="zh-CN"/>
                      <w14:textFill>
                        <w14:solidFill>
                          <w14:schemeClr w14:val="tx1"/>
                        </w14:solidFill>
                      </w14:textFill>
                    </w:rPr>
                    <w:t>华西蟾蜍、</w:t>
                  </w:r>
                  <w:r>
                    <w:rPr>
                      <w:rFonts w:hint="eastAsia" w:ascii="仿宋" w:hAnsi="仿宋" w:eastAsia="仿宋" w:cs="仿宋"/>
                      <w:color w:val="000000" w:themeColor="text1"/>
                      <w:sz w:val="21"/>
                      <w:szCs w:val="21"/>
                      <w14:textFill>
                        <w14:solidFill>
                          <w14:schemeClr w14:val="tx1"/>
                        </w14:solidFill>
                      </w14:textFill>
                    </w:rPr>
                    <w:t>黑眶蟾蜍</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沼蛙</w:t>
                  </w:r>
                  <w:r>
                    <w:rPr>
                      <w:rFonts w:hint="eastAsia" w:ascii="仿宋" w:hAnsi="仿宋" w:eastAsia="仿宋" w:cs="仿宋"/>
                      <w:color w:val="000000" w:themeColor="text1"/>
                      <w:sz w:val="21"/>
                      <w:szCs w:val="21"/>
                      <w:lang w:val="en-US" w:eastAsia="zh-CN"/>
                      <w14:textFill>
                        <w14:solidFill>
                          <w14:schemeClr w14:val="tx1"/>
                        </w14:solidFill>
                      </w14:textFill>
                    </w:rPr>
                    <w:t>等</w:t>
                  </w:r>
                </w:p>
              </w:tc>
              <w:tc>
                <w:tcPr>
                  <w:tcW w:w="9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评价范围内</w:t>
                  </w:r>
                </w:p>
              </w:tc>
              <w:tc>
                <w:tcPr>
                  <w:tcW w:w="2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保护重要野生动物及其生境，文明施工，尽量避开野生动物的繁殖季节。在施工中遇到的幼兽或受伤兽类，应交由林业局专业人员予以保护，禁止捕猎。</w:t>
                  </w:r>
                </w:p>
              </w:tc>
            </w:tr>
          </w:tbl>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817"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评价</w:t>
            </w:r>
          </w:p>
          <w:p>
            <w:pPr>
              <w:adjustRightInd w:val="0"/>
              <w:snapToGrid w:val="0"/>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标准</w:t>
            </w:r>
          </w:p>
        </w:tc>
        <w:tc>
          <w:tcPr>
            <w:tcW w:w="8340" w:type="dxa"/>
            <w:noWrap w:val="0"/>
            <w:vAlign w:val="center"/>
          </w:tcPr>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1、环境质量标准</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（1）环境空气质量标准</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项目位于</w:t>
            </w:r>
            <w:r>
              <w:rPr>
                <w:rFonts w:hint="eastAsia" w:ascii="仿宋" w:hAnsi="仿宋" w:eastAsia="仿宋" w:cs="仿宋"/>
                <w:color w:val="000000" w:themeColor="text1"/>
                <w:sz w:val="24"/>
                <w:szCs w:val="24"/>
                <w:lang w:val="en-US" w:eastAsia="zh-CN"/>
                <w14:textFill>
                  <w14:solidFill>
                    <w14:schemeClr w14:val="tx1"/>
                  </w14:solidFill>
                </w14:textFill>
              </w:rPr>
              <w:t>大理州弥渡县</w:t>
            </w:r>
            <w:r>
              <w:rPr>
                <w:rFonts w:hint="eastAsia" w:ascii="仿宋" w:hAnsi="仿宋" w:eastAsia="仿宋" w:cs="仿宋"/>
                <w:color w:val="000000" w:themeColor="text1"/>
                <w:sz w:val="24"/>
                <w:szCs w:val="24"/>
                <w14:textFill>
                  <w14:solidFill>
                    <w14:schemeClr w14:val="tx1"/>
                  </w14:solidFill>
                </w14:textFill>
              </w:rPr>
              <w:t>，属环境空气质量二类区，执行《环境空气质量标准》（GB309</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-20</w:t>
            </w:r>
            <w:r>
              <w:rPr>
                <w:rFonts w:hint="eastAsia" w:ascii="仿宋" w:hAnsi="仿宋" w:eastAsia="仿宋" w:cs="仿宋"/>
                <w:color w:val="000000" w:themeColor="text1"/>
                <w:sz w:val="24"/>
                <w:szCs w:val="24"/>
                <w:lang w:val="en-US" w:eastAsia="zh-CN"/>
                <w14:textFill>
                  <w14:solidFill>
                    <w14:schemeClr w14:val="tx1"/>
                  </w14:solidFill>
                </w14:textFill>
              </w:rPr>
              <w:t>26</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中过段阶段浓度限值的</w:t>
            </w:r>
            <w:r>
              <w:rPr>
                <w:rFonts w:hint="eastAsia" w:ascii="仿宋" w:hAnsi="仿宋" w:eastAsia="仿宋" w:cs="仿宋"/>
                <w:color w:val="000000" w:themeColor="text1"/>
                <w:sz w:val="24"/>
                <w:szCs w:val="24"/>
                <w14:textFill>
                  <w14:solidFill>
                    <w14:schemeClr w14:val="tx1"/>
                  </w14:solidFill>
                </w14:textFill>
              </w:rPr>
              <w:t>二级标准，</w:t>
            </w:r>
            <w:r>
              <w:rPr>
                <w:rFonts w:hint="eastAsia" w:ascii="仿宋" w:hAnsi="仿宋" w:eastAsia="仿宋" w:cs="仿宋"/>
                <w:color w:val="000000" w:themeColor="text1"/>
                <w:sz w:val="24"/>
                <w:szCs w:val="24"/>
                <w:lang w:eastAsia="zh-CN"/>
                <w14:textFill>
                  <w14:solidFill>
                    <w14:schemeClr w14:val="tx1"/>
                  </w14:solidFill>
                </w14:textFill>
              </w:rPr>
              <w:t>具体标准限值如下</w:t>
            </w:r>
            <w:r>
              <w:rPr>
                <w:rFonts w:hint="eastAsia" w:ascii="仿宋" w:hAnsi="仿宋" w:eastAsia="仿宋" w:cs="仿宋"/>
                <w:color w:val="000000" w:themeColor="text1"/>
                <w:sz w:val="24"/>
                <w:szCs w:val="24"/>
                <w14:textFill>
                  <w14:solidFill>
                    <w14:schemeClr w14:val="tx1"/>
                  </w14:solidFill>
                </w14:textFill>
              </w:rPr>
              <w:t>。</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表3-</w:t>
            </w: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 xml:space="preserve">  环境空气质量标准二级浓度限值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2015"/>
              <w:gridCol w:w="1568"/>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386" w:type="pct"/>
                  <w:vMerge w:val="restart"/>
                  <w:tcBorders>
                    <w:top w:val="single" w:color="auto" w:sz="4" w:space="0"/>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污染物名称</w:t>
                  </w:r>
                </w:p>
              </w:tc>
              <w:tc>
                <w:tcPr>
                  <w:tcW w:w="1284" w:type="pct"/>
                  <w:tcBorders>
                    <w:top w:val="single" w:color="auto" w:sz="4" w:space="0"/>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取值时间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过渡阶段</w:t>
                  </w:r>
                  <w:r>
                    <w:rPr>
                      <w:rFonts w:hint="eastAsia" w:ascii="仿宋" w:hAnsi="仿宋" w:eastAsia="仿宋" w:cs="仿宋"/>
                      <w:color w:val="000000" w:themeColor="text1"/>
                      <w:sz w:val="21"/>
                      <w:szCs w:val="21"/>
                      <w14:textFill>
                        <w14:solidFill>
                          <w14:schemeClr w14:val="tx1"/>
                        </w14:solidFill>
                      </w14:textFill>
                    </w:rPr>
                    <w:t>浓度限值</w:t>
                  </w:r>
                </w:p>
              </w:tc>
              <w:tc>
                <w:tcPr>
                  <w:tcW w:w="1329" w:type="pct"/>
                  <w:vMerge w:val="restart"/>
                  <w:tcBorders>
                    <w:top w:val="single" w:color="auto" w:sz="4" w:space="0"/>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restar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二氧化硫</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（SO</w:t>
                  </w:r>
                  <w:r>
                    <w:rPr>
                      <w:rFonts w:hint="eastAsia" w:ascii="仿宋" w:hAnsi="仿宋" w:eastAsia="仿宋" w:cs="仿宋"/>
                      <w:color w:val="000000" w:themeColor="text1"/>
                      <w:sz w:val="21"/>
                      <w:szCs w:val="21"/>
                      <w:vertAlign w:val="sub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w:t>
                  </w: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年平均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60</w:t>
                  </w:r>
                </w:p>
              </w:tc>
              <w:tc>
                <w:tcPr>
                  <w:tcW w:w="1329" w:type="pct"/>
                  <w:vMerge w:val="restart"/>
                  <w:tcBorders>
                    <w:top w:val="single" w:color="auto" w:sz="4" w:space="0"/>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μg/m</w:t>
                  </w:r>
                  <w:r>
                    <w:rPr>
                      <w:rFonts w:hint="eastAsia" w:ascii="仿宋" w:hAnsi="仿宋" w:eastAsia="仿宋" w:cs="仿宋"/>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386" w:type="pct"/>
                  <w:vMerge w:val="continue"/>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24小时平均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150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500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restar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二氧化氮</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（NO</w:t>
                  </w:r>
                  <w:r>
                    <w:rPr>
                      <w:rFonts w:hint="eastAsia" w:ascii="仿宋" w:hAnsi="仿宋" w:eastAsia="仿宋" w:cs="仿宋"/>
                      <w:color w:val="000000" w:themeColor="text1"/>
                      <w:sz w:val="21"/>
                      <w:szCs w:val="21"/>
                      <w:vertAlign w:val="sub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w:t>
                  </w: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年平均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24小时平</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restart"/>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一氧化碳（CO）</w:t>
                  </w: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24小时平</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1329" w:type="pct"/>
                  <w:vMerge w:val="restart"/>
                  <w:tcBorders>
                    <w:top w:val="single" w:color="auto" w:sz="4" w:space="0"/>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mg/m</w:t>
                  </w:r>
                  <w:r>
                    <w:rPr>
                      <w:rFonts w:hint="eastAsia" w:ascii="仿宋" w:hAnsi="仿宋" w:eastAsia="仿宋" w:cs="仿宋"/>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1329" w:type="pct"/>
                  <w:vMerge w:val="continue"/>
                  <w:tcBorders>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restart"/>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臭氧（O</w:t>
                  </w:r>
                  <w:r>
                    <w:rPr>
                      <w:rFonts w:hint="eastAsia" w:ascii="仿宋" w:hAnsi="仿宋" w:eastAsia="仿宋" w:cs="仿宋"/>
                      <w:color w:val="000000" w:themeColor="text1"/>
                      <w:sz w:val="21"/>
                      <w:szCs w:val="21"/>
                      <w:vertAlign w:val="sub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w:t>
                  </w: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日最大8小时平均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160</w:t>
                  </w:r>
                </w:p>
              </w:tc>
              <w:tc>
                <w:tcPr>
                  <w:tcW w:w="1329" w:type="pct"/>
                  <w:vMerge w:val="restart"/>
                  <w:tcBorders>
                    <w:top w:val="single" w:color="auto" w:sz="4" w:space="0"/>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μg/m</w:t>
                  </w:r>
                  <w:r>
                    <w:rPr>
                      <w:rFonts w:hint="eastAsia" w:ascii="仿宋" w:hAnsi="仿宋" w:eastAsia="仿宋" w:cs="仿宋"/>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restart"/>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颗粒物</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（粒径小于等于10um）</w:t>
                  </w: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年平均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24小时平均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restart"/>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颗粒物</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（粒径小于等于2.5um）</w:t>
                  </w: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年平均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24小时平均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86" w:type="pct"/>
                  <w:vMerge w:val="restart"/>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总悬浮颗粒物（TSP）</w:t>
                  </w: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年平均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200</w:t>
                  </w:r>
                </w:p>
              </w:tc>
              <w:tc>
                <w:tcPr>
                  <w:tcW w:w="1329"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6" w:type="pct"/>
                  <w:vMerge w:val="continue"/>
                  <w:tcBorders>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p>
              </w:tc>
              <w:tc>
                <w:tcPr>
                  <w:tcW w:w="1284"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24小时平均</w:t>
                  </w:r>
                </w:p>
              </w:tc>
              <w:tc>
                <w:tcPr>
                  <w:tcW w:w="999" w:type="pct"/>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300</w:t>
                  </w:r>
                </w:p>
              </w:tc>
              <w:tc>
                <w:tcPr>
                  <w:tcW w:w="1329" w:type="pct"/>
                  <w:vMerge w:val="continue"/>
                  <w:tcBorders>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p>
              </w:tc>
            </w:tr>
          </w:tbl>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（2）地表水环境质量标准</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项目周边地表水体主要有星峰水库、大沟、密祉河、毗雄河及礼社江。其中星峰水库位于项目开关站直线距离约1.2km处；项目区最近地表水体为大沟，大沟隶属于密祉河上游水系，密祉河自西向东汇入毗雄河，毗雄河自北向南最终汇入礼社江。</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根据《大理白族自治州水功能区划（</w:t>
            </w:r>
            <w:r>
              <w:rPr>
                <w:rFonts w:hint="default" w:ascii="仿宋" w:hAnsi="仿宋" w:eastAsia="仿宋" w:cs="仿宋"/>
                <w:color w:val="000000" w:themeColor="text1"/>
                <w:sz w:val="24"/>
                <w:szCs w:val="24"/>
                <w:lang w:val="en-US" w:eastAsia="zh-CN"/>
                <w14:textFill>
                  <w14:solidFill>
                    <w14:schemeClr w14:val="tx1"/>
                  </w14:solidFill>
                </w14:textFill>
              </w:rPr>
              <w:t xml:space="preserve">2015 </w:t>
            </w:r>
            <w:r>
              <w:rPr>
                <w:rFonts w:hint="eastAsia" w:ascii="仿宋" w:hAnsi="仿宋" w:eastAsia="仿宋" w:cs="仿宋"/>
                <w:color w:val="000000" w:themeColor="text1"/>
                <w:sz w:val="24"/>
                <w:szCs w:val="24"/>
                <w:lang w:val="en-US" w:eastAsia="zh-CN"/>
                <w14:textFill>
                  <w14:solidFill>
                    <w14:schemeClr w14:val="tx1"/>
                  </w14:solidFill>
                </w14:textFill>
              </w:rPr>
              <w:t>年修订）》，项目区域的毗雄河属于一级区划中的红河流域保留区的毗雄河弥渡</w:t>
            </w:r>
            <w:r>
              <w:rPr>
                <w:rFonts w:hint="default"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 xml:space="preserve">南涧保留区，由弥渡县东武邑水文站至南涧县入元江口，全长 </w:t>
            </w:r>
            <w:r>
              <w:rPr>
                <w:rFonts w:hint="default" w:ascii="仿宋" w:hAnsi="仿宋" w:eastAsia="仿宋" w:cs="仿宋"/>
                <w:color w:val="000000" w:themeColor="text1"/>
                <w:sz w:val="24"/>
                <w:szCs w:val="24"/>
                <w:lang w:val="en-US" w:eastAsia="zh-CN"/>
                <w14:textFill>
                  <w14:solidFill>
                    <w14:schemeClr w14:val="tx1"/>
                  </w14:solidFill>
                </w14:textFill>
              </w:rPr>
              <w:t>38.6km</w:t>
            </w:r>
            <w:r>
              <w:rPr>
                <w:rFonts w:hint="eastAsia" w:ascii="仿宋" w:hAnsi="仿宋" w:eastAsia="仿宋" w:cs="仿宋"/>
                <w:color w:val="000000" w:themeColor="text1"/>
                <w:sz w:val="24"/>
                <w:szCs w:val="24"/>
                <w:lang w:val="en-US" w:eastAsia="zh-CN"/>
                <w14:textFill>
                  <w14:solidFill>
                    <w14:schemeClr w14:val="tx1"/>
                  </w14:solidFill>
                </w14:textFill>
              </w:rPr>
              <w:t>，水质类别为Ⅱ类，地表水执行《地表水环境质量标准》（</w:t>
            </w:r>
            <w:r>
              <w:rPr>
                <w:rFonts w:hint="default" w:ascii="仿宋" w:hAnsi="仿宋" w:eastAsia="仿宋" w:cs="仿宋"/>
                <w:color w:val="000000" w:themeColor="text1"/>
                <w:sz w:val="24"/>
                <w:szCs w:val="24"/>
                <w:lang w:val="en-US" w:eastAsia="zh-CN"/>
                <w14:textFill>
                  <w14:solidFill>
                    <w14:schemeClr w14:val="tx1"/>
                  </w14:solidFill>
                </w14:textFill>
              </w:rPr>
              <w:t>GB3838-2002</w:t>
            </w:r>
            <w:r>
              <w:rPr>
                <w:rFonts w:hint="eastAsia" w:ascii="仿宋" w:hAnsi="仿宋" w:eastAsia="仿宋" w:cs="仿宋"/>
                <w:color w:val="000000" w:themeColor="text1"/>
                <w:sz w:val="24"/>
                <w:szCs w:val="24"/>
                <w:lang w:val="en-US" w:eastAsia="zh-CN"/>
                <w14:textFill>
                  <w14:solidFill>
                    <w14:schemeClr w14:val="tx1"/>
                  </w14:solidFill>
                </w14:textFill>
              </w:rPr>
              <w:t>）Ⅱ类水质标准。具体执行标准如下所示。</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表3-</w:t>
            </w: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 xml:space="preserve">  地表水环境质量标准限值</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485"/>
              <w:gridCol w:w="937"/>
              <w:gridCol w:w="2428"/>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序号</w:t>
                  </w:r>
                </w:p>
              </w:tc>
              <w:tc>
                <w:tcPr>
                  <w:tcW w:w="1583" w:type="pct"/>
                  <w:shd w:val="clear" w:color="auto" w:fill="auto"/>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项目</w:t>
                  </w:r>
                </w:p>
              </w:tc>
              <w:tc>
                <w:tcPr>
                  <w:tcW w:w="597" w:type="pct"/>
                  <w:vAlign w:val="center"/>
                </w:tcPr>
                <w:p>
                  <w:pPr>
                    <w:pStyle w:val="58"/>
                    <w:bidi w:val="0"/>
                    <w:rPr>
                      <w:rFonts w:hint="eastAsia" w:ascii="仿宋" w:hAnsi="仿宋" w:eastAsia="仿宋" w:cs="仿宋"/>
                      <w:b/>
                      <w:bCs w:val="0"/>
                      <w:color w:val="000000" w:themeColor="text1"/>
                      <w:sz w:val="21"/>
                      <w:szCs w:val="21"/>
                      <w:lang w:eastAsia="zh-CN"/>
                      <w14:textFill>
                        <w14:solidFill>
                          <w14:schemeClr w14:val="tx1"/>
                        </w14:solidFill>
                      </w14:textFill>
                    </w:rPr>
                  </w:pPr>
                  <w:r>
                    <w:rPr>
                      <w:rFonts w:hint="eastAsia" w:ascii="仿宋" w:hAnsi="仿宋" w:eastAsia="仿宋" w:cs="仿宋"/>
                      <w:b/>
                      <w:bCs w:val="0"/>
                      <w:color w:val="000000" w:themeColor="text1"/>
                      <w:sz w:val="21"/>
                      <w:szCs w:val="21"/>
                      <w:lang w:eastAsia="zh-CN"/>
                      <w14:textFill>
                        <w14:solidFill>
                          <w14:schemeClr w14:val="tx1"/>
                        </w14:solidFill>
                      </w14:textFill>
                    </w:rPr>
                    <w:t>单位</w:t>
                  </w:r>
                </w:p>
              </w:tc>
              <w:tc>
                <w:tcPr>
                  <w:tcW w:w="1547" w:type="pct"/>
                  <w:vAlign w:val="center"/>
                </w:tcPr>
                <w:p>
                  <w:pPr>
                    <w:pStyle w:val="58"/>
                    <w:bidi w:val="0"/>
                    <w:rPr>
                      <w:rFonts w:hint="eastAsia" w:ascii="仿宋" w:hAnsi="仿宋" w:eastAsia="仿宋" w:cs="仿宋"/>
                      <w:b/>
                      <w:bCs w:val="0"/>
                      <w:color w:val="000000" w:themeColor="text1"/>
                      <w:sz w:val="21"/>
                      <w:szCs w:val="21"/>
                      <w:lang w:eastAsia="zh-CN"/>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Ⅱ类</w:t>
                  </w:r>
                  <w:r>
                    <w:rPr>
                      <w:rFonts w:hint="eastAsia" w:ascii="仿宋" w:hAnsi="仿宋" w:eastAsia="仿宋" w:cs="仿宋"/>
                      <w:b/>
                      <w:bCs w:val="0"/>
                      <w:color w:val="000000" w:themeColor="text1"/>
                      <w:sz w:val="21"/>
                      <w:szCs w:val="21"/>
                      <w:lang w:eastAsia="zh-CN"/>
                      <w14:textFill>
                        <w14:solidFill>
                          <w14:schemeClr w14:val="tx1"/>
                        </w14:solidFill>
                      </w14:textFill>
                    </w:rPr>
                    <w:t>标准</w:t>
                  </w:r>
                </w:p>
              </w:tc>
              <w:tc>
                <w:tcPr>
                  <w:tcW w:w="902" w:type="pct"/>
                  <w:shd w:val="clear" w:color="auto" w:fill="auto"/>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b/>
                      <w:bCs w:val="0"/>
                      <w:color w:val="000000" w:themeColor="text1"/>
                      <w:sz w:val="21"/>
                      <w:szCs w:val="21"/>
                      <w:lang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p>
              </w:tc>
              <w:tc>
                <w:tcPr>
                  <w:tcW w:w="1583" w:type="pct"/>
                  <w:shd w:val="clear" w:color="auto" w:fill="auto"/>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水温（</w:t>
                  </w:r>
                  <w:r>
                    <w:rPr>
                      <w:rFonts w:hint="default" w:ascii="仿宋" w:hAnsi="仿宋" w:eastAsia="仿宋" w:cs="仿宋"/>
                      <w:color w:val="000000" w:themeColor="text1"/>
                      <w:sz w:val="21"/>
                      <w:szCs w:val="21"/>
                      <w:lang w:val="en-US" w:eastAsia="zh-CN"/>
                      <w14:textFill>
                        <w14:solidFill>
                          <w14:schemeClr w14:val="tx1"/>
                        </w14:solidFill>
                      </w14:textFill>
                    </w:rPr>
                    <w:t>℃)</w:t>
                  </w:r>
                </w:p>
              </w:tc>
              <w:tc>
                <w:tcPr>
                  <w:tcW w:w="597" w:type="pct"/>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无量纲</w:t>
                  </w:r>
                </w:p>
              </w:tc>
              <w:tc>
                <w:tcPr>
                  <w:tcW w:w="1547" w:type="pct"/>
                  <w:vAlign w:val="center"/>
                </w:tcPr>
                <w:p>
                  <w:pPr>
                    <w:keepNext w:val="0"/>
                    <w:keepLines w:val="0"/>
                    <w:widowControl/>
                    <w:suppressLineNumbers w:val="0"/>
                    <w:jc w:val="left"/>
                    <w:rPr>
                      <w:color w:val="000000" w:themeColor="text1"/>
                      <w14:textFill>
                        <w14:solidFill>
                          <w14:schemeClr w14:val="tx1"/>
                        </w14:solidFill>
                      </w14:textFill>
                    </w:rPr>
                  </w:pPr>
                  <w:r>
                    <w:rPr>
                      <w:rFonts w:ascii="仿宋" w:hAnsi="仿宋" w:eastAsia="仿宋" w:cs="仿宋"/>
                      <w:color w:val="000000" w:themeColor="text1"/>
                      <w:kern w:val="0"/>
                      <w:sz w:val="20"/>
                      <w:szCs w:val="20"/>
                      <w:lang w:val="en-US" w:eastAsia="zh-CN" w:bidi="ar"/>
                      <w14:textFill>
                        <w14:solidFill>
                          <w14:schemeClr w14:val="tx1"/>
                        </w14:solidFill>
                      </w14:textFill>
                    </w:rPr>
                    <w:t xml:space="preserve">人为造成的环境水温变化应限值在： </w:t>
                  </w:r>
                </w:p>
                <w:p>
                  <w:pPr>
                    <w:keepNext w:val="0"/>
                    <w:keepLines w:val="0"/>
                    <w:widowControl/>
                    <w:suppressLineNumbers w:val="0"/>
                    <w:jc w:val="left"/>
                    <w:rPr>
                      <w:color w:val="000000" w:themeColor="text1"/>
                      <w14:textFill>
                        <w14:solidFill>
                          <w14:schemeClr w14:val="tx1"/>
                        </w14:solidFill>
                      </w14:textFill>
                    </w:rPr>
                  </w:pPr>
                  <w:r>
                    <w:rPr>
                      <w:rFonts w:hint="eastAsia" w:ascii="仿宋" w:hAnsi="仿宋" w:eastAsia="仿宋" w:cs="仿宋"/>
                      <w:color w:val="000000" w:themeColor="text1"/>
                      <w:kern w:val="0"/>
                      <w:sz w:val="20"/>
                      <w:szCs w:val="20"/>
                      <w:lang w:val="en-US" w:eastAsia="zh-CN" w:bidi="ar"/>
                      <w14:textFill>
                        <w14:solidFill>
                          <w14:schemeClr w14:val="tx1"/>
                        </w14:solidFill>
                      </w14:textFill>
                    </w:rPr>
                    <w:t>周平均最大升温</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≤1</w:t>
                  </w:r>
                  <w:r>
                    <w:rPr>
                      <w:rFonts w:hint="eastAsia" w:ascii="仿宋" w:hAnsi="仿宋" w:eastAsia="仿宋" w:cs="仿宋"/>
                      <w:color w:val="000000" w:themeColor="text1"/>
                      <w:kern w:val="0"/>
                      <w:sz w:val="20"/>
                      <w:szCs w:val="20"/>
                      <w:lang w:val="en-US" w:eastAsia="zh-CN" w:bidi="ar"/>
                      <w14:textFill>
                        <w14:solidFill>
                          <w14:schemeClr w14:val="tx1"/>
                        </w14:solidFill>
                      </w14:textFill>
                    </w:rPr>
                    <w:t xml:space="preserve">； </w:t>
                  </w:r>
                </w:p>
                <w:p>
                  <w:pPr>
                    <w:keepNext w:val="0"/>
                    <w:keepLines w:val="0"/>
                    <w:widowControl/>
                    <w:suppressLineNumbers w:val="0"/>
                    <w:jc w:val="left"/>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kern w:val="0"/>
                      <w:sz w:val="20"/>
                      <w:szCs w:val="20"/>
                      <w:lang w:val="en-US" w:eastAsia="zh-CN" w:bidi="ar"/>
                      <w14:textFill>
                        <w14:solidFill>
                          <w14:schemeClr w14:val="tx1"/>
                        </w14:solidFill>
                      </w14:textFill>
                    </w:rPr>
                    <w:t>周平均最大降温</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≤2</w:t>
                  </w:r>
                </w:p>
              </w:tc>
              <w:tc>
                <w:tcPr>
                  <w:tcW w:w="902" w:type="pct"/>
                  <w:vMerge w:val="restart"/>
                  <w:vAlign w:val="center"/>
                </w:tcPr>
                <w:p>
                  <w:pPr>
                    <w:keepNext w:val="0"/>
                    <w:keepLines w:val="0"/>
                    <w:widowControl/>
                    <w:suppressLineNumbers w:val="0"/>
                    <w:jc w:val="center"/>
                    <w:rPr>
                      <w:color w:val="000000" w:themeColor="text1"/>
                      <w14:textFill>
                        <w14:solidFill>
                          <w14:schemeClr w14:val="tx1"/>
                        </w14:solidFill>
                      </w14:textFill>
                    </w:rPr>
                  </w:pPr>
                  <w:r>
                    <w:rPr>
                      <w:rFonts w:ascii="仿宋" w:hAnsi="仿宋" w:eastAsia="仿宋" w:cs="仿宋"/>
                      <w:color w:val="000000" w:themeColor="text1"/>
                      <w:kern w:val="0"/>
                      <w:sz w:val="20"/>
                      <w:szCs w:val="20"/>
                      <w:lang w:val="en-US" w:eastAsia="zh-CN" w:bidi="ar"/>
                      <w14:textFill>
                        <w14:solidFill>
                          <w14:schemeClr w14:val="tx1"/>
                        </w14:solidFill>
                      </w14:textFill>
                    </w:rPr>
                    <w:t>环境质量</w:t>
                  </w:r>
                </w:p>
                <w:p>
                  <w:pPr>
                    <w:keepNext w:val="0"/>
                    <w:keepLines w:val="0"/>
                    <w:widowControl/>
                    <w:suppressLineNumbers w:val="0"/>
                    <w:jc w:val="center"/>
                    <w:rPr>
                      <w:color w:val="000000" w:themeColor="text1"/>
                      <w14:textFill>
                        <w14:solidFill>
                          <w14:schemeClr w14:val="tx1"/>
                        </w14:solidFill>
                      </w14:textFill>
                    </w:rPr>
                  </w:pPr>
                  <w:r>
                    <w:rPr>
                      <w:rFonts w:hint="eastAsia" w:ascii="仿宋" w:hAnsi="仿宋" w:eastAsia="仿宋" w:cs="仿宋"/>
                      <w:color w:val="000000" w:themeColor="text1"/>
                      <w:kern w:val="0"/>
                      <w:sz w:val="20"/>
                      <w:szCs w:val="20"/>
                      <w:lang w:val="en-US" w:eastAsia="zh-CN" w:bidi="ar"/>
                      <w14:textFill>
                        <w14:solidFill>
                          <w14:schemeClr w14:val="tx1"/>
                        </w14:solidFill>
                      </w14:textFill>
                    </w:rPr>
                    <w:t>标准》</w:t>
                  </w:r>
                </w:p>
                <w:p>
                  <w:pPr>
                    <w:keepNext w:val="0"/>
                    <w:keepLines w:val="0"/>
                    <w:widowControl/>
                    <w:suppressLineNumbers w:val="0"/>
                    <w:jc w:val="center"/>
                    <w:rPr>
                      <w:color w:val="000000" w:themeColor="text1"/>
                      <w14:textFill>
                        <w14:solidFill>
                          <w14:schemeClr w14:val="tx1"/>
                        </w14:solidFill>
                      </w14:textFill>
                    </w:rPr>
                  </w:pPr>
                  <w:r>
                    <w:rPr>
                      <w:rFonts w:hint="eastAsia" w:ascii="仿宋" w:hAnsi="仿宋" w:eastAsia="仿宋" w:cs="仿宋"/>
                      <w:color w:val="000000" w:themeColor="text1"/>
                      <w:kern w:val="0"/>
                      <w:sz w:val="20"/>
                      <w:szCs w:val="20"/>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GB383</w:t>
                  </w:r>
                </w:p>
                <w:p>
                  <w:pPr>
                    <w:keepNext w:val="0"/>
                    <w:keepLines w:val="0"/>
                    <w:widowControl/>
                    <w:suppressLineNumbers w:val="0"/>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8-2002</w:t>
                  </w:r>
                  <w:r>
                    <w:rPr>
                      <w:rFonts w:hint="eastAsia" w:ascii="仿宋" w:hAnsi="仿宋" w:eastAsia="仿宋" w:cs="仿宋"/>
                      <w:color w:val="000000" w:themeColor="text1"/>
                      <w:kern w:val="0"/>
                      <w:sz w:val="20"/>
                      <w:szCs w:val="20"/>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t>Ⅱ</w:t>
                  </w:r>
                </w:p>
                <w:p>
                  <w:pPr>
                    <w:keepNext w:val="0"/>
                    <w:keepLines w:val="0"/>
                    <w:widowControl/>
                    <w:suppressLineNumbers w:val="0"/>
                    <w:jc w:val="center"/>
                    <w:rPr>
                      <w:color w:val="000000" w:themeColor="text1"/>
                      <w14:textFill>
                        <w14:solidFill>
                          <w14:schemeClr w14:val="tx1"/>
                        </w14:solidFill>
                      </w14:textFill>
                    </w:rPr>
                  </w:pPr>
                  <w:r>
                    <w:rPr>
                      <w:rFonts w:hint="eastAsia" w:ascii="仿宋" w:hAnsi="仿宋" w:eastAsia="仿宋" w:cs="仿宋"/>
                      <w:color w:val="000000" w:themeColor="text1"/>
                      <w:kern w:val="0"/>
                      <w:sz w:val="20"/>
                      <w:szCs w:val="20"/>
                      <w:lang w:val="en-US" w:eastAsia="zh-CN" w:bidi="ar"/>
                      <w14:textFill>
                        <w14:solidFill>
                          <w14:schemeClr w14:val="tx1"/>
                        </w14:solidFill>
                      </w14:textFill>
                    </w:rPr>
                    <w:t>类</w:t>
                  </w:r>
                </w:p>
                <w:p>
                  <w:pPr>
                    <w:pStyle w:val="58"/>
                    <w:bidi w:val="0"/>
                    <w:jc w:val="center"/>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pH值(无量纲)</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6～9</w:t>
                  </w:r>
                </w:p>
              </w:tc>
              <w:tc>
                <w:tcPr>
                  <w:tcW w:w="902" w:type="pct"/>
                  <w:vMerge w:val="continue"/>
                  <w:vAlign w:val="center"/>
                </w:tcPr>
                <w:p>
                  <w:pPr>
                    <w:pStyle w:val="58"/>
                    <w:bidi w:val="0"/>
                    <w:jc w:val="center"/>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溶解氧</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化学需氧量（COD）</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高锰酸盐指数</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五日生化需氧量（BOD</w:t>
                  </w:r>
                  <w:r>
                    <w:rPr>
                      <w:rFonts w:hint="eastAsia" w:ascii="仿宋" w:hAnsi="仿宋" w:eastAsia="仿宋" w:cs="仿宋"/>
                      <w:color w:val="000000" w:themeColor="text1"/>
                      <w:sz w:val="21"/>
                      <w:szCs w:val="21"/>
                      <w:vertAlign w:val="subscript"/>
                      <w14:textFill>
                        <w14:solidFill>
                          <w14:schemeClr w14:val="tx1"/>
                        </w14:solidFill>
                      </w14:textFill>
                    </w:rPr>
                    <w:t>5</w:t>
                  </w:r>
                  <w:r>
                    <w:rPr>
                      <w:rFonts w:hint="eastAsia" w:ascii="仿宋" w:hAnsi="仿宋" w:eastAsia="仿宋" w:cs="仿宋"/>
                      <w:color w:val="000000" w:themeColor="text1"/>
                      <w:sz w:val="21"/>
                      <w:szCs w:val="21"/>
                      <w14:textFill>
                        <w14:solidFill>
                          <w14:schemeClr w14:val="tx1"/>
                        </w14:solidFill>
                      </w14:textFill>
                    </w:rPr>
                    <w:t>）</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氨氮（NH3-N）</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总磷（以P计）</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≤0.1（湖、库0.025）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8</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总氮（湖、库以N计）</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9</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铜</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10</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锌</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11</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氟化物（以F-计）</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12</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硒</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≤0.01</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13</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砷</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14</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汞</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≤0.00005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15</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镉</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≤0.005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16</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铬（六价）</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17</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铅</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≤0.01</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18</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硫化物</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≤0.1</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19</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挥发酚</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≤0.002</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20</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石油类</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≤0.05</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21</w:t>
                  </w: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阴离子表面活性剂</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≤0.2</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69"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83" w:type="pct"/>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粪大肠菌群（个/L）</w:t>
                  </w:r>
                </w:p>
              </w:tc>
              <w:tc>
                <w:tcPr>
                  <w:tcW w:w="597" w:type="pct"/>
                  <w:vAlign w:val="center"/>
                </w:tcPr>
                <w:p>
                  <w:pPr>
                    <w:bidi w:val="0"/>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mg/L</w:t>
                  </w:r>
                </w:p>
              </w:tc>
              <w:tc>
                <w:tcPr>
                  <w:tcW w:w="1547" w:type="pct"/>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≤2000</w:t>
                  </w:r>
                </w:p>
              </w:tc>
              <w:tc>
                <w:tcPr>
                  <w:tcW w:w="902" w:type="pct"/>
                  <w:vMerge w:val="continue"/>
                  <w:shd w:val="clear" w:color="auto" w:fill="auto"/>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bl>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（3）声环境质量标准</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项目区属于1类声环境功能区，执行《声环境质量标准》（GB 3096-2008）1类标准，详见表3-</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表3-</w:t>
            </w:r>
            <w:r>
              <w:rPr>
                <w:rFonts w:hint="eastAsia" w:ascii="仿宋" w:hAnsi="仿宋" w:eastAsia="仿宋" w:cs="仿宋"/>
                <w:color w:val="000000" w:themeColor="text1"/>
                <w:sz w:val="21"/>
                <w:szCs w:val="21"/>
                <w:lang w:val="en-US" w:eastAsia="zh-CN"/>
                <w14:textFill>
                  <w14:solidFill>
                    <w14:schemeClr w14:val="tx1"/>
                  </w14:solidFill>
                </w14:textFill>
              </w:rPr>
              <w:t>5</w:t>
            </w:r>
            <w:r>
              <w:rPr>
                <w:rFonts w:hint="eastAsia" w:ascii="仿宋" w:hAnsi="仿宋" w:eastAsia="仿宋" w:cs="仿宋"/>
                <w:color w:val="000000" w:themeColor="text1"/>
                <w:sz w:val="21"/>
                <w:szCs w:val="21"/>
                <w14:textFill>
                  <w14:solidFill>
                    <w14:schemeClr w14:val="tx1"/>
                  </w14:solidFill>
                </w14:textFill>
              </w:rPr>
              <w:t xml:space="preserve">  声环境质量标准  单位：dB（A）</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2617"/>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类别</w:t>
                  </w:r>
                </w:p>
              </w:tc>
              <w:tc>
                <w:tcPr>
                  <w:tcW w:w="1667"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昼间</w:t>
                  </w:r>
                </w:p>
              </w:tc>
              <w:tc>
                <w:tcPr>
                  <w:tcW w:w="1667"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1类</w:t>
                  </w:r>
                </w:p>
              </w:tc>
              <w:tc>
                <w:tcPr>
                  <w:tcW w:w="1667"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1667"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45</w:t>
                  </w:r>
                </w:p>
              </w:tc>
            </w:tr>
          </w:tbl>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2、污染物排放标准</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（1）废气</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①工程施工期污染物主要为扬尘，执行《大气污染物综合排放标准》（GB16297-1996）无组织排放限值，即厂界外浓度最高点≤1.0mg/m³。</w:t>
            </w:r>
          </w:p>
          <w:p>
            <w:pPr>
              <w:spacing w:line="360" w:lineRule="auto"/>
              <w:ind w:firstLine="480"/>
              <w:rPr>
                <w:rFonts w:hint="eastAsia" w:ascii="仿宋" w:hAnsi="仿宋" w:eastAsia="仿宋" w:cs="仿宋"/>
                <w:color w:val="000000" w:themeColor="text1"/>
                <w:sz w:val="24"/>
                <w:szCs w:val="24"/>
                <w:highlight w:val="yellow"/>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②项目运营期食堂油烟参照执行《饮食业油烟排放标准（试行）》（GB18483-2001）中的小型规模标准：排放浓度≤2.0mg/m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，去除率≥60%。</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（2）废水</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①工程施工期产生的生产废水、</w:t>
            </w:r>
            <w:r>
              <w:rPr>
                <w:rFonts w:hint="eastAsia" w:ascii="仿宋" w:hAnsi="仿宋" w:eastAsia="仿宋" w:cs="仿宋"/>
                <w:color w:val="000000" w:themeColor="text1"/>
                <w:sz w:val="24"/>
                <w:szCs w:val="24"/>
                <w:lang w:eastAsia="zh-CN"/>
                <w14:textFill>
                  <w14:solidFill>
                    <w14:schemeClr w14:val="tx1"/>
                  </w14:solidFill>
                </w14:textFill>
              </w:rPr>
              <w:t>生活污水</w:t>
            </w:r>
            <w:r>
              <w:rPr>
                <w:rFonts w:hint="eastAsia" w:ascii="仿宋" w:hAnsi="仿宋" w:eastAsia="仿宋" w:cs="仿宋"/>
                <w:color w:val="000000" w:themeColor="text1"/>
                <w:sz w:val="24"/>
                <w:szCs w:val="24"/>
                <w14:textFill>
                  <w14:solidFill>
                    <w14:schemeClr w14:val="tx1"/>
                  </w14:solidFill>
                </w14:textFill>
              </w:rPr>
              <w:t>经处理后全部回用，不外排。</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②项目运营期废水主要为</w:t>
            </w:r>
            <w:r>
              <w:rPr>
                <w:rFonts w:hint="eastAsia" w:ascii="仿宋" w:hAnsi="仿宋" w:eastAsia="仿宋" w:cs="仿宋"/>
                <w:color w:val="000000" w:themeColor="text1"/>
                <w:sz w:val="24"/>
                <w:szCs w:val="24"/>
                <w:lang w:val="en-US" w:eastAsia="zh-CN"/>
                <w14:textFill>
                  <w14:solidFill>
                    <w14:schemeClr w14:val="tx1"/>
                  </w14:solidFill>
                </w14:textFill>
              </w:rPr>
              <w:t>开关</w:t>
            </w:r>
            <w:r>
              <w:rPr>
                <w:rFonts w:hint="eastAsia" w:ascii="仿宋" w:hAnsi="仿宋" w:eastAsia="仿宋" w:cs="仿宋"/>
                <w:color w:val="000000" w:themeColor="text1"/>
                <w:sz w:val="24"/>
                <w:szCs w:val="24"/>
                <w14:textFill>
                  <w14:solidFill>
                    <w14:schemeClr w14:val="tx1"/>
                  </w14:solidFill>
                </w14:textFill>
              </w:rPr>
              <w:t>站</w:t>
            </w:r>
            <w:r>
              <w:rPr>
                <w:rFonts w:hint="eastAsia" w:ascii="仿宋" w:hAnsi="仿宋" w:eastAsia="仿宋" w:cs="仿宋"/>
                <w:color w:val="000000" w:themeColor="text1"/>
                <w:sz w:val="24"/>
                <w:szCs w:val="24"/>
                <w:lang w:val="en-US" w:eastAsia="zh-CN"/>
                <w14:textFill>
                  <w14:solidFill>
                    <w14:schemeClr w14:val="tx1"/>
                  </w14:solidFill>
                </w14:textFill>
              </w:rPr>
              <w:t>食堂废水和</w:t>
            </w:r>
            <w:r>
              <w:rPr>
                <w:rFonts w:hint="eastAsia" w:ascii="仿宋" w:hAnsi="仿宋" w:eastAsia="仿宋" w:cs="仿宋"/>
                <w:color w:val="000000" w:themeColor="text1"/>
                <w:sz w:val="24"/>
                <w:szCs w:val="24"/>
                <w14:textFill>
                  <w14:solidFill>
                    <w14:schemeClr w14:val="tx1"/>
                  </w14:solidFill>
                </w14:textFill>
              </w:rPr>
              <w:t>生活污水。食堂废水通过隔油池处理后排入站内污水管网和其他生活污水一起排入化粪池，化粪池预处理后排入一体化污水处理设备进行处理，出水达《城市污水再生利用城市杂用水水质》（GB/T18920-2020）城市绿化用水标准后回用于绿化，不外排。</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表3-</w:t>
            </w:r>
            <w:r>
              <w:rPr>
                <w:rFonts w:hint="eastAsia" w:ascii="仿宋" w:hAnsi="仿宋" w:eastAsia="仿宋" w:cs="仿宋"/>
                <w:color w:val="000000" w:themeColor="text1"/>
                <w:sz w:val="21"/>
                <w:szCs w:val="21"/>
                <w:lang w:val="en-US" w:eastAsia="zh-CN"/>
                <w14:textFill>
                  <w14:solidFill>
                    <w14:schemeClr w14:val="tx1"/>
                  </w14:solidFill>
                </w14:textFill>
              </w:rPr>
              <w:t>6</w:t>
            </w:r>
            <w:r>
              <w:rPr>
                <w:rFonts w:hint="eastAsia" w:ascii="仿宋" w:hAnsi="仿宋" w:eastAsia="仿宋" w:cs="仿宋"/>
                <w:color w:val="000000" w:themeColor="text1"/>
                <w:sz w:val="21"/>
                <w:szCs w:val="21"/>
                <w14:textFill>
                  <w14:solidFill>
                    <w14:schemeClr w14:val="tx1"/>
                  </w14:solidFill>
                </w14:textFill>
              </w:rPr>
              <w:t xml:space="preserve">  城市杂用水水质标准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3513"/>
              <w:gridCol w:w="3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序号</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指标</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pH</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色度</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嗅</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浊度（NTU）</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五日生化需氧量（mg/L）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氨氮（mg/L）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阴离子表面活性剂（mg/L）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8</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铁（mg/L）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9</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锰（mg/L）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溶解性总固体（mg/L）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1000（2000）a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11</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溶解氧（mg/L）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w:t>
                  </w:r>
                </w:p>
              </w:tc>
              <w:tc>
                <w:tcPr>
                  <w:tcW w:w="3513" w:type="dxa"/>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总氯（mg/L）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1.0（出厂）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3513" w:type="dxa"/>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0.2b（管网末端）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13</w:t>
                  </w:r>
                </w:p>
              </w:tc>
              <w:tc>
                <w:tcPr>
                  <w:tcW w:w="3513"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大肠埃希氏菌</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（MPN/100ml、CFU/100ml）</w:t>
                  </w:r>
                </w:p>
              </w:tc>
              <w:tc>
                <w:tcPr>
                  <w:tcW w:w="3512" w:type="dxa"/>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无b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48" w:type="dxa"/>
                  <w:gridSpan w:val="3"/>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a括号内指标值为沿海及本地水源中溶解性固体含量较高的区域的指标。</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b大肠埃希氏菌不应检出。</w:t>
                  </w:r>
                </w:p>
              </w:tc>
            </w:tr>
          </w:tbl>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（3）噪声</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①施工期执行《建筑施工场界环境噪声排放标准》（GB12523-2011），标准限值见表3-</w:t>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 3-</w:t>
            </w:r>
            <w:r>
              <w:rPr>
                <w:rFonts w:hint="eastAsia" w:ascii="仿宋" w:hAnsi="仿宋" w:eastAsia="仿宋" w:cs="仿宋"/>
                <w:color w:val="000000" w:themeColor="text1"/>
                <w:sz w:val="21"/>
                <w:szCs w:val="21"/>
                <w:lang w:val="en-US" w:eastAsia="zh-CN"/>
                <w14:textFill>
                  <w14:solidFill>
                    <w14:schemeClr w14:val="tx1"/>
                  </w14:solidFill>
                </w14:textFill>
              </w:rPr>
              <w:t>7</w:t>
            </w:r>
            <w:r>
              <w:rPr>
                <w:rFonts w:hint="eastAsia" w:ascii="仿宋" w:hAnsi="仿宋" w:eastAsia="仿宋" w:cs="仿宋"/>
                <w:color w:val="000000" w:themeColor="text1"/>
                <w:sz w:val="21"/>
                <w:szCs w:val="21"/>
                <w14:textFill>
                  <w14:solidFill>
                    <w14:schemeClr w14:val="tx1"/>
                  </w14:solidFill>
                </w14:textFill>
              </w:rPr>
              <w:t xml:space="preserve"> 建筑施工场界环境噪声排放标准限值  单位：dB（A）</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4"/>
              <w:gridCol w:w="3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时段</w:t>
                  </w:r>
                </w:p>
              </w:tc>
              <w:tc>
                <w:tcPr>
                  <w:tcW w:w="2500"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昼间</w:t>
                  </w:r>
                </w:p>
              </w:tc>
              <w:tc>
                <w:tcPr>
                  <w:tcW w:w="2500"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夜间</w:t>
                  </w:r>
                </w:p>
              </w:tc>
              <w:tc>
                <w:tcPr>
                  <w:tcW w:w="2500" w:type="pct"/>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r>
          </w:tbl>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②工程运营期噪声排放执行《工业企业厂界环境噪声排放标准》（GB12348-2008）1类标准，标准值见表3-</w:t>
            </w: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eastAsia" w:ascii="仿宋" w:hAnsi="仿宋" w:eastAsia="仿宋" w:cs="仿宋"/>
                <w:color w:val="000000" w:themeColor="text1"/>
                <w:sz w:val="24"/>
                <w:szCs w:val="24"/>
                <w14:textFill>
                  <w14:solidFill>
                    <w14:schemeClr w14:val="tx1"/>
                  </w14:solidFill>
                </w14:textFill>
              </w:rPr>
              <w:t>。</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表3-</w:t>
            </w:r>
            <w:r>
              <w:rPr>
                <w:rFonts w:hint="eastAsia" w:ascii="仿宋" w:hAnsi="仿宋" w:eastAsia="仿宋" w:cs="仿宋"/>
                <w:color w:val="000000" w:themeColor="text1"/>
                <w:sz w:val="21"/>
                <w:szCs w:val="21"/>
                <w:lang w:val="en-US" w:eastAsia="zh-CN"/>
                <w14:textFill>
                  <w14:solidFill>
                    <w14:schemeClr w14:val="tx1"/>
                  </w14:solidFill>
                </w14:textFill>
              </w:rPr>
              <w:t>8</w:t>
            </w:r>
            <w:r>
              <w:rPr>
                <w:rFonts w:hint="eastAsia" w:ascii="仿宋" w:hAnsi="仿宋" w:eastAsia="仿宋" w:cs="仿宋"/>
                <w:color w:val="000000" w:themeColor="text1"/>
                <w:sz w:val="21"/>
                <w:szCs w:val="21"/>
                <w14:textFill>
                  <w14:solidFill>
                    <w14:schemeClr w14:val="tx1"/>
                  </w14:solidFill>
                </w14:textFill>
              </w:rPr>
              <w:t xml:space="preserve">  工业企业厂界环境噪声排放标准限值  单位：dB（A）</w:t>
            </w:r>
          </w:p>
          <w:tbl>
            <w:tblPr>
              <w:tblStyle w:val="24"/>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103"/>
              <w:gridCol w:w="2628"/>
              <w:gridCol w:w="21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977" w:type="pct"/>
                  <w:vMerge w:val="restart"/>
                  <w:tcBorders>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标准类别</w:t>
                  </w:r>
                </w:p>
              </w:tc>
              <w:tc>
                <w:tcPr>
                  <w:tcW w:w="3022" w:type="pct"/>
                  <w:gridSpan w:val="2"/>
                  <w:tcBorders>
                    <w:lef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4" w:hRule="atLeast"/>
                <w:jc w:val="center"/>
              </w:trPr>
              <w:tc>
                <w:tcPr>
                  <w:tcW w:w="1977" w:type="pct"/>
                  <w:vMerge w:val="continue"/>
                  <w:tcBorders>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674" w:type="pct"/>
                  <w:tcBorders>
                    <w:lef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昼间</w:t>
                  </w:r>
                </w:p>
              </w:tc>
              <w:tc>
                <w:tcPr>
                  <w:tcW w:w="1347" w:type="pct"/>
                  <w:tcBorders>
                    <w:lef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8" w:hRule="atLeast"/>
                <w:jc w:val="center"/>
              </w:trPr>
              <w:tc>
                <w:tcPr>
                  <w:tcW w:w="1977" w:type="pct"/>
                  <w:tcBorders>
                    <w:righ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1类</w:t>
                  </w:r>
                </w:p>
              </w:tc>
              <w:tc>
                <w:tcPr>
                  <w:tcW w:w="1674" w:type="pct"/>
                  <w:tcBorders>
                    <w:left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134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45</w:t>
                  </w:r>
                </w:p>
              </w:tc>
            </w:tr>
          </w:tbl>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（4）固体废物</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①项目产生一般固体废物执行《一般工业固体废物贮存和填埋污染控制标准》（GB18599-2020）中的相关要求。</w:t>
            </w:r>
          </w:p>
          <w:p>
            <w:pPr>
              <w:spacing w:line="360" w:lineRule="auto"/>
              <w:ind w:firstLine="480" w:firstLineChars="0"/>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②运营期废矿物油、废变压器油等危险废物执行《危险废物贮存污染控制标准》（GB18597-2023）的相关要求。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817" w:type="dxa"/>
            <w:noWrap w:val="0"/>
            <w:vAlign w:val="center"/>
          </w:tcPr>
          <w:p>
            <w:pPr>
              <w:adjustRightInd w:val="0"/>
              <w:snapToGrid w:val="0"/>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其他</w:t>
            </w:r>
          </w:p>
        </w:tc>
        <w:tc>
          <w:tcPr>
            <w:tcW w:w="8340" w:type="dxa"/>
            <w:noWrap w:val="0"/>
            <w:vAlign w:val="center"/>
          </w:tcPr>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1、废气</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项目运营期的大气污染源主要为少量食堂油烟</w:t>
            </w:r>
            <w:r>
              <w:rPr>
                <w:rFonts w:hint="eastAsia" w:ascii="仿宋" w:hAnsi="仿宋" w:eastAsia="仿宋" w:cs="仿宋"/>
                <w:color w:val="000000" w:themeColor="text1"/>
                <w:sz w:val="24"/>
                <w:szCs w:val="24"/>
                <w:lang w:val="en-US" w:eastAsia="zh-CN"/>
                <w14:textFill>
                  <w14:solidFill>
                    <w14:schemeClr w14:val="tx1"/>
                  </w14:solidFill>
                </w14:textFill>
              </w:rPr>
              <w:t>和化粪池、污水处理站异味</w:t>
            </w:r>
            <w:r>
              <w:rPr>
                <w:rFonts w:hint="eastAsia" w:ascii="仿宋" w:hAnsi="仿宋" w:eastAsia="仿宋" w:cs="仿宋"/>
                <w:color w:val="000000" w:themeColor="text1"/>
                <w:sz w:val="24"/>
                <w:szCs w:val="24"/>
                <w14:textFill>
                  <w14:solidFill>
                    <w14:schemeClr w14:val="tx1"/>
                  </w14:solidFill>
                </w14:textFill>
              </w:rPr>
              <w:t>，对环境影响</w:t>
            </w:r>
            <w:r>
              <w:rPr>
                <w:rFonts w:hint="eastAsia" w:ascii="仿宋" w:hAnsi="仿宋" w:eastAsia="仿宋" w:cs="仿宋"/>
                <w:color w:val="000000" w:themeColor="text1"/>
                <w:sz w:val="24"/>
                <w:szCs w:val="24"/>
                <w:lang w:eastAsia="zh-CN"/>
                <w14:textFill>
                  <w14:solidFill>
                    <w14:schemeClr w14:val="tx1"/>
                  </w14:solidFill>
                </w14:textFill>
              </w:rPr>
              <w:t>较小</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2、废水</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开关</w:t>
            </w:r>
            <w:r>
              <w:rPr>
                <w:rFonts w:hint="eastAsia" w:ascii="仿宋" w:hAnsi="仿宋" w:eastAsia="仿宋" w:cs="仿宋"/>
                <w:color w:val="000000" w:themeColor="text1"/>
                <w:sz w:val="24"/>
                <w:szCs w:val="24"/>
                <w14:textFill>
                  <w14:solidFill>
                    <w14:schemeClr w14:val="tx1"/>
                  </w14:solidFill>
                </w14:textFill>
              </w:rPr>
              <w:t>站食堂废水通过隔油池处理后排入站内污水管网和其他生活污水一起排入化粪池，化粪池预处理后排入一体化污水处理设备进行处理，出水达《城市污水再生利用城市杂用水水质》（GB/T18920-2020）城市绿化用水标准后回用于站内绿化，不外排。</w:t>
            </w:r>
          </w:p>
          <w:p>
            <w:pPr>
              <w:spacing w:line="360" w:lineRule="auto"/>
              <w:ind w:firstLine="480" w:firstLineChars="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3、固体废物</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固体废物分类处置，处置率100%。</w:t>
            </w:r>
          </w:p>
          <w:p>
            <w:pPr>
              <w:spacing w:line="360" w:lineRule="auto"/>
              <w:ind w:firstLine="480" w:firstLineChars="0"/>
              <w:rPr>
                <w:rFonts w:hint="default" w:ascii="仿宋" w:hAnsi="仿宋" w:eastAsia="仿宋" w:cs="仿宋"/>
                <w:color w:val="000000" w:themeColor="text1"/>
                <w:sz w:val="24"/>
                <w:szCs w:val="24"/>
                <w:lang w:eastAsia="zh-CN"/>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根据本项目的具体情况，结合国家污染物排放总量控制原则，本项目运营期无</w:t>
            </w:r>
            <w:r>
              <w:rPr>
                <w:rFonts w:hint="eastAsia" w:ascii="仿宋" w:hAnsi="仿宋" w:eastAsia="仿宋" w:cs="仿宋"/>
                <w:color w:val="000000" w:themeColor="text1"/>
                <w:sz w:val="24"/>
                <w:szCs w:val="24"/>
                <w:lang w:val="en-US" w:eastAsia="zh-CN"/>
                <w14:textFill>
                  <w14:solidFill>
                    <w14:schemeClr w14:val="tx1"/>
                  </w14:solidFill>
                </w14:textFill>
              </w:rPr>
              <w:t>生产</w:t>
            </w:r>
            <w:r>
              <w:rPr>
                <w:rFonts w:hint="default" w:ascii="仿宋" w:hAnsi="仿宋" w:eastAsia="仿宋" w:cs="仿宋"/>
                <w:color w:val="000000" w:themeColor="text1"/>
                <w:sz w:val="24"/>
                <w:szCs w:val="24"/>
                <w14:textFill>
                  <w14:solidFill>
                    <w14:schemeClr w14:val="tx1"/>
                  </w14:solidFill>
                </w14:textFill>
              </w:rPr>
              <w:t>废气</w:t>
            </w:r>
            <w:r>
              <w:rPr>
                <w:rFonts w:hint="eastAsia" w:ascii="仿宋" w:hAnsi="仿宋" w:eastAsia="仿宋" w:cs="仿宋"/>
                <w:color w:val="000000" w:themeColor="text1"/>
                <w:sz w:val="24"/>
                <w:szCs w:val="24"/>
                <w:lang w:val="en-US" w:eastAsia="zh-CN"/>
                <w14:textFill>
                  <w14:solidFill>
                    <w14:schemeClr w14:val="tx1"/>
                  </w14:solidFill>
                </w14:textFill>
              </w:rPr>
              <w:t>和生产废水</w:t>
            </w:r>
            <w:r>
              <w:rPr>
                <w:rFonts w:hint="default" w:ascii="仿宋" w:hAnsi="仿宋" w:eastAsia="仿宋" w:cs="仿宋"/>
                <w:color w:val="000000" w:themeColor="text1"/>
                <w:sz w:val="24"/>
                <w:szCs w:val="24"/>
                <w14:textFill>
                  <w14:solidFill>
                    <w14:schemeClr w14:val="tx1"/>
                  </w14:solidFill>
                </w14:textFill>
              </w:rPr>
              <w:t>产生</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14:textFill>
                  <w14:solidFill>
                    <w14:schemeClr w14:val="tx1"/>
                  </w14:solidFill>
                </w14:textFill>
              </w:rPr>
              <w:t>固废处置率为100%</w:t>
            </w:r>
            <w:r>
              <w:rPr>
                <w:rFonts w:hint="default" w:ascii="仿宋" w:hAnsi="仿宋" w:eastAsia="仿宋" w:cs="仿宋"/>
                <w:color w:val="000000" w:themeColor="text1"/>
                <w:sz w:val="24"/>
                <w:szCs w:val="24"/>
                <w:lang w:eastAsia="zh-CN"/>
                <w14:textFill>
                  <w14:solidFill>
                    <w14:schemeClr w14:val="tx1"/>
                  </w14:solidFill>
                </w14:textFill>
              </w:rPr>
              <w:t>。</w:t>
            </w:r>
          </w:p>
          <w:p>
            <w:pPr>
              <w:spacing w:line="360" w:lineRule="auto"/>
              <w:ind w:firstLine="48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综上，</w:t>
            </w:r>
            <w:r>
              <w:rPr>
                <w:rFonts w:hint="default" w:ascii="仿宋" w:hAnsi="仿宋" w:eastAsia="仿宋" w:cs="仿宋"/>
                <w:color w:val="000000" w:themeColor="text1"/>
                <w:sz w:val="24"/>
                <w:szCs w:val="24"/>
                <w14:textFill>
                  <w14:solidFill>
                    <w14:schemeClr w14:val="tx1"/>
                  </w14:solidFill>
                </w14:textFill>
              </w:rPr>
              <w:t>本项目不涉及总量控制指标，不设总量控制指标。</w:t>
            </w:r>
          </w:p>
        </w:tc>
      </w:tr>
    </w:tbl>
    <w:p>
      <w:pPr>
        <w:pStyle w:val="21"/>
        <w:adjustRightInd w:val="0"/>
        <w:snapToGrid w:val="0"/>
        <w:spacing w:before="0" w:beforeAutospacing="0" w:after="0" w:afterAutospacing="0" w:line="14" w:lineRule="auto"/>
        <w:jc w:val="center"/>
        <w:outlineLvl w:val="9"/>
        <w:rPr>
          <w:rFonts w:ascii="黑体" w:hAnsi="黑体" w:eastAsia="黑体"/>
          <w:snapToGrid w:val="0"/>
          <w:color w:val="000000" w:themeColor="text1"/>
          <w:kern w:val="2"/>
          <w:sz w:val="36"/>
          <w:szCs w:val="36"/>
          <w14:textFill>
            <w14:solidFill>
              <w14:schemeClr w14:val="tx1"/>
            </w14:solidFill>
          </w14:textFill>
        </w:rPr>
      </w:pPr>
    </w:p>
    <w:p>
      <w:pPr>
        <w:pStyle w:val="21"/>
        <w:jc w:val="center"/>
        <w:outlineLvl w:val="0"/>
        <w:rPr>
          <w:rFonts w:ascii="黑体" w:hAnsi="黑体" w:eastAsia="黑体"/>
          <w:snapToGrid w:val="0"/>
          <w:color w:val="000000" w:themeColor="text1"/>
          <w:sz w:val="30"/>
          <w:szCs w:val="30"/>
          <w14:textFill>
            <w14:solidFill>
              <w14:schemeClr w14:val="tx1"/>
            </w14:solidFill>
          </w14:textFill>
        </w:rPr>
      </w:pPr>
      <w:r>
        <w:rPr>
          <w:rFonts w:ascii="黑体" w:hAnsi="黑体" w:eastAsia="黑体"/>
          <w:snapToGrid w:val="0"/>
          <w:color w:val="000000" w:themeColor="text1"/>
          <w:kern w:val="2"/>
          <w:sz w:val="36"/>
          <w:szCs w:val="36"/>
          <w14:textFill>
            <w14:solidFill>
              <w14:schemeClr w14:val="tx1"/>
            </w14:solidFill>
          </w14:textFill>
        </w:rPr>
        <w:br w:type="page"/>
      </w:r>
      <w:bookmarkStart w:id="21" w:name="_Toc4804"/>
      <w:r>
        <w:rPr>
          <w:rFonts w:hint="eastAsia" w:ascii="黑体" w:hAnsi="黑体" w:eastAsia="黑体"/>
          <w:snapToGrid w:val="0"/>
          <w:color w:val="000000" w:themeColor="text1"/>
          <w:sz w:val="30"/>
          <w:szCs w:val="30"/>
          <w14:textFill>
            <w14:solidFill>
              <w14:schemeClr w14:val="tx1"/>
            </w14:solidFill>
          </w14:textFill>
        </w:rPr>
        <w:t>四、生态环境影响分析</w:t>
      </w:r>
      <w:bookmarkEnd w:id="21"/>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80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5" w:hRule="atLeast"/>
          <w:jc w:val="center"/>
        </w:trPr>
        <w:tc>
          <w:tcPr>
            <w:tcW w:w="213" w:type="pct"/>
            <w:noWrap w:val="0"/>
            <w:tcMar>
              <w:left w:w="28" w:type="dxa"/>
              <w:right w:w="28" w:type="dxa"/>
            </w:tcMar>
            <w:vAlign w:val="center"/>
          </w:tcPr>
          <w:p>
            <w:pPr>
              <w:pStyle w:val="21"/>
              <w:adjustRightInd w:val="0"/>
              <w:snapToGrid w:val="0"/>
              <w:spacing w:before="0" w:beforeAutospacing="0" w:after="0" w:afterAutospacing="0"/>
              <w:jc w:val="center"/>
              <w:rPr>
                <w:rFonts w:hint="eastAsia" w:ascii="仿宋" w:hAnsi="仿宋" w:eastAsia="仿宋" w:cs="仿宋"/>
                <w:bCs/>
                <w:color w:val="000000" w:themeColor="text1"/>
                <w:spacing w:val="10"/>
                <w:kern w:val="2"/>
                <w:sz w:val="24"/>
                <w:szCs w:val="24"/>
                <w14:textFill>
                  <w14:solidFill>
                    <w14:schemeClr w14:val="tx1"/>
                  </w14:solidFill>
                </w14:textFill>
              </w:rPr>
            </w:pPr>
            <w:bookmarkStart w:id="22" w:name="_Hlk49796138"/>
            <w:r>
              <w:rPr>
                <w:rFonts w:hint="eastAsia" w:ascii="仿宋" w:hAnsi="仿宋" w:eastAsia="仿宋" w:cs="仿宋"/>
                <w:bCs/>
                <w:color w:val="000000" w:themeColor="text1"/>
                <w:spacing w:val="10"/>
                <w:kern w:val="2"/>
                <w:sz w:val="24"/>
                <w:szCs w:val="24"/>
                <w14:textFill>
                  <w14:solidFill>
                    <w14:schemeClr w14:val="tx1"/>
                  </w14:solidFill>
                </w14:textFill>
              </w:rPr>
              <w:t>施工</w:t>
            </w:r>
          </w:p>
          <w:p>
            <w:pPr>
              <w:pStyle w:val="21"/>
              <w:adjustRightInd w:val="0"/>
              <w:snapToGrid w:val="0"/>
              <w:spacing w:before="0" w:beforeAutospacing="0" w:after="0" w:afterAutospacing="0"/>
              <w:jc w:val="center"/>
              <w:rPr>
                <w:rFonts w:hint="eastAsia" w:ascii="仿宋" w:hAnsi="仿宋" w:eastAsia="仿宋" w:cs="仿宋"/>
                <w:bCs/>
                <w:color w:val="000000" w:themeColor="text1"/>
                <w:spacing w:val="10"/>
                <w:kern w:val="2"/>
                <w:sz w:val="24"/>
                <w:szCs w:val="24"/>
                <w14:textFill>
                  <w14:solidFill>
                    <w14:schemeClr w14:val="tx1"/>
                  </w14:solidFill>
                </w14:textFill>
              </w:rPr>
            </w:pPr>
            <w:r>
              <w:rPr>
                <w:rFonts w:hint="eastAsia" w:ascii="仿宋" w:hAnsi="仿宋" w:eastAsia="仿宋" w:cs="仿宋"/>
                <w:bCs/>
                <w:color w:val="000000" w:themeColor="text1"/>
                <w:spacing w:val="10"/>
                <w:kern w:val="2"/>
                <w:sz w:val="24"/>
                <w:szCs w:val="24"/>
                <w14:textFill>
                  <w14:solidFill>
                    <w14:schemeClr w14:val="tx1"/>
                  </w14:solidFill>
                </w14:textFill>
              </w:rPr>
              <w:t>期生</w:t>
            </w:r>
          </w:p>
          <w:p>
            <w:pPr>
              <w:pStyle w:val="21"/>
              <w:adjustRightInd w:val="0"/>
              <w:snapToGrid w:val="0"/>
              <w:spacing w:before="0" w:beforeAutospacing="0" w:after="0" w:afterAutospacing="0"/>
              <w:jc w:val="center"/>
              <w:rPr>
                <w:rFonts w:hint="eastAsia" w:ascii="仿宋" w:hAnsi="仿宋" w:eastAsia="仿宋" w:cs="仿宋"/>
                <w:bCs/>
                <w:color w:val="000000" w:themeColor="text1"/>
                <w:spacing w:val="10"/>
                <w:kern w:val="2"/>
                <w:sz w:val="24"/>
                <w:szCs w:val="24"/>
                <w14:textFill>
                  <w14:solidFill>
                    <w14:schemeClr w14:val="tx1"/>
                  </w14:solidFill>
                </w14:textFill>
              </w:rPr>
            </w:pPr>
            <w:r>
              <w:rPr>
                <w:rFonts w:hint="eastAsia" w:ascii="仿宋" w:hAnsi="仿宋" w:eastAsia="仿宋" w:cs="仿宋"/>
                <w:bCs/>
                <w:color w:val="000000" w:themeColor="text1"/>
                <w:spacing w:val="10"/>
                <w:kern w:val="2"/>
                <w:sz w:val="24"/>
                <w:szCs w:val="24"/>
                <w14:textFill>
                  <w14:solidFill>
                    <w14:schemeClr w14:val="tx1"/>
                  </w14:solidFill>
                </w14:textFill>
              </w:rPr>
              <w:t>态环</w:t>
            </w:r>
          </w:p>
          <w:p>
            <w:pPr>
              <w:pStyle w:val="21"/>
              <w:adjustRightInd w:val="0"/>
              <w:snapToGrid w:val="0"/>
              <w:spacing w:before="0" w:beforeAutospacing="0" w:after="0" w:afterAutospacing="0"/>
              <w:jc w:val="center"/>
              <w:rPr>
                <w:rFonts w:hint="eastAsia" w:ascii="仿宋" w:hAnsi="仿宋" w:eastAsia="仿宋" w:cs="仿宋"/>
                <w:bCs/>
                <w:color w:val="000000" w:themeColor="text1"/>
                <w:spacing w:val="10"/>
                <w:kern w:val="2"/>
                <w:sz w:val="24"/>
                <w:szCs w:val="24"/>
                <w14:textFill>
                  <w14:solidFill>
                    <w14:schemeClr w14:val="tx1"/>
                  </w14:solidFill>
                </w14:textFill>
              </w:rPr>
            </w:pPr>
            <w:r>
              <w:rPr>
                <w:rFonts w:hint="eastAsia" w:ascii="仿宋" w:hAnsi="仿宋" w:eastAsia="仿宋" w:cs="仿宋"/>
                <w:bCs/>
                <w:color w:val="000000" w:themeColor="text1"/>
                <w:spacing w:val="10"/>
                <w:kern w:val="2"/>
                <w:sz w:val="24"/>
                <w:szCs w:val="24"/>
                <w14:textFill>
                  <w14:solidFill>
                    <w14:schemeClr w14:val="tx1"/>
                  </w14:solidFill>
                </w14:textFill>
              </w:rPr>
              <w:t>境影</w:t>
            </w:r>
          </w:p>
          <w:p>
            <w:pPr>
              <w:pStyle w:val="21"/>
              <w:adjustRightInd w:val="0"/>
              <w:snapToGrid w:val="0"/>
              <w:spacing w:before="0" w:beforeAutospacing="0" w:after="0" w:afterAutospacing="0"/>
              <w:jc w:val="center"/>
              <w:rPr>
                <w:rFonts w:hint="eastAsia" w:ascii="仿宋" w:hAnsi="仿宋" w:eastAsia="仿宋" w:cs="仿宋"/>
                <w:bCs/>
                <w:color w:val="000000" w:themeColor="text1"/>
                <w:spacing w:val="10"/>
                <w:kern w:val="2"/>
                <w:sz w:val="24"/>
                <w:szCs w:val="24"/>
                <w14:textFill>
                  <w14:solidFill>
                    <w14:schemeClr w14:val="tx1"/>
                  </w14:solidFill>
                </w14:textFill>
              </w:rPr>
            </w:pPr>
            <w:r>
              <w:rPr>
                <w:rFonts w:hint="eastAsia" w:ascii="仿宋" w:hAnsi="仿宋" w:eastAsia="仿宋" w:cs="仿宋"/>
                <w:bCs/>
                <w:color w:val="000000" w:themeColor="text1"/>
                <w:spacing w:val="10"/>
                <w:kern w:val="2"/>
                <w:sz w:val="24"/>
                <w:szCs w:val="24"/>
                <w14:textFill>
                  <w14:solidFill>
                    <w14:schemeClr w14:val="tx1"/>
                  </w14:solidFill>
                </w14:textFill>
              </w:rPr>
              <w:t>响分</w:t>
            </w:r>
          </w:p>
          <w:p>
            <w:pPr>
              <w:pStyle w:val="21"/>
              <w:adjustRightInd w:val="0"/>
              <w:snapToGrid w:val="0"/>
              <w:spacing w:before="0" w:beforeAutospacing="0" w:after="0" w:afterAutospacing="0"/>
              <w:jc w:val="center"/>
              <w:rPr>
                <w:rFonts w:hint="eastAsia" w:ascii="仿宋" w:hAnsi="仿宋" w:eastAsia="仿宋" w:cs="仿宋"/>
                <w:bCs/>
                <w:color w:val="000000" w:themeColor="text1"/>
                <w:spacing w:val="10"/>
                <w:kern w:val="2"/>
                <w:sz w:val="24"/>
                <w:szCs w:val="24"/>
                <w14:textFill>
                  <w14:solidFill>
                    <w14:schemeClr w14:val="tx1"/>
                  </w14:solidFill>
                </w14:textFill>
              </w:rPr>
            </w:pPr>
            <w:r>
              <w:rPr>
                <w:rFonts w:hint="eastAsia" w:ascii="仿宋" w:hAnsi="仿宋" w:eastAsia="仿宋" w:cs="仿宋"/>
                <w:bCs/>
                <w:color w:val="000000" w:themeColor="text1"/>
                <w:spacing w:val="10"/>
                <w:kern w:val="2"/>
                <w:sz w:val="24"/>
                <w:szCs w:val="24"/>
                <w14:textFill>
                  <w14:solidFill>
                    <w14:schemeClr w14:val="tx1"/>
                  </w14:solidFill>
                </w14:textFill>
              </w:rPr>
              <w:t>析</w:t>
            </w:r>
          </w:p>
        </w:tc>
        <w:tc>
          <w:tcPr>
            <w:tcW w:w="4786" w:type="pct"/>
            <w:noWrap w:val="0"/>
            <w:vAlign w:val="top"/>
          </w:tcPr>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1、施工期生态环境影响分析</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1.1施工对土地利用的影响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本项目总占地面积48485.72m²，其中永久占地3825.13m²，临时占地44660.59m²。永久占地主要为风机基础（含箱变基础）、35kV 开关站、进场及站内道路用地；临时占地主要为风机安装平台、35kV 地埋电缆沟槽、弃渣场、材料堆场、施工便道及临时作业区等。</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经现场踏勘与土地利用现状调查，项目占地类型以人工乔木林地、灌木林地为主，不占用耕地、永久基本农田、国家级/省级公益林、天然乔木林，不涉及生态保护红线、自然保护区、饮用水水源保护区等敏感区域，符合区域土地利用管控与生态保护要求。</w:t>
            </w:r>
            <w:r>
              <w:rPr>
                <w:rFonts w:hint="eastAsia" w:ascii="仿宋" w:hAnsi="仿宋" w:eastAsia="仿宋" w:cs="仿宋"/>
                <w:color w:val="000000" w:themeColor="text1"/>
                <w:sz w:val="24"/>
                <w:szCs w:val="24"/>
                <w14:textFill>
                  <w14:solidFill>
                    <w14:schemeClr w14:val="tx1"/>
                  </w14:solidFill>
                </w14:textFill>
              </w:rPr>
              <w:t>占用土地利用类型见下表。</w:t>
            </w:r>
          </w:p>
          <w:p>
            <w:pPr>
              <w:pStyle w:val="5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eastAsia"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 xml:space="preserve">  本工程占用土地利用类型情况表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106"/>
              <w:gridCol w:w="1028"/>
              <w:gridCol w:w="971"/>
              <w:gridCol w:w="1046"/>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7" w:type="pct"/>
                  <w:gridSpan w:val="2"/>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工程占地类型</w:t>
                  </w:r>
                </w:p>
              </w:tc>
              <w:tc>
                <w:tcPr>
                  <w:tcW w:w="1350" w:type="pct"/>
                  <w:gridSpan w:val="2"/>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永久</w:t>
                  </w:r>
                  <w:r>
                    <w:rPr>
                      <w:rFonts w:hint="eastAsia" w:ascii="仿宋" w:hAnsi="仿宋" w:eastAsia="仿宋" w:cs="仿宋"/>
                      <w:color w:val="000000" w:themeColor="text1"/>
                      <w:sz w:val="21"/>
                      <w:szCs w:val="21"/>
                      <w14:textFill>
                        <w14:solidFill>
                          <w14:schemeClr w14:val="tx1"/>
                        </w14:solidFill>
                      </w14:textFill>
                    </w:rPr>
                    <w:t>占地</w:t>
                  </w:r>
                </w:p>
              </w:tc>
              <w:tc>
                <w:tcPr>
                  <w:tcW w:w="1361" w:type="pct"/>
                  <w:gridSpan w:val="2"/>
                  <w:noWrap w:val="0"/>
                  <w:vAlign w:val="top"/>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9"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一级类</w:t>
                  </w:r>
                </w:p>
              </w:tc>
              <w:tc>
                <w:tcPr>
                  <w:tcW w:w="1267"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二级类</w:t>
                  </w:r>
                </w:p>
              </w:tc>
              <w:tc>
                <w:tcPr>
                  <w:tcW w:w="69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面积（公顷）</w:t>
                  </w:r>
                </w:p>
              </w:tc>
              <w:tc>
                <w:tcPr>
                  <w:tcW w:w="65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占比（%）</w:t>
                  </w:r>
                </w:p>
              </w:tc>
              <w:tc>
                <w:tcPr>
                  <w:tcW w:w="7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面积（公顷）</w:t>
                  </w:r>
                </w:p>
              </w:tc>
              <w:tc>
                <w:tcPr>
                  <w:tcW w:w="657"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vMerge w:val="restar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03林地</w:t>
                  </w:r>
                </w:p>
              </w:tc>
              <w:tc>
                <w:tcPr>
                  <w:tcW w:w="1267" w:type="pc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0301乔木林地</w:t>
                  </w:r>
                </w:p>
              </w:tc>
              <w:tc>
                <w:tcPr>
                  <w:tcW w:w="102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6"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vMerge w:val="continue"/>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p>
              </w:tc>
              <w:tc>
                <w:tcPr>
                  <w:tcW w:w="1267" w:type="pct"/>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0305灌木林地</w:t>
                  </w:r>
                </w:p>
              </w:tc>
              <w:tc>
                <w:tcPr>
                  <w:tcW w:w="102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6"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9" w:type="pct"/>
                  <w:noWrap/>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10交通运输用地</w:t>
                  </w:r>
                </w:p>
              </w:tc>
              <w:tc>
                <w:tcPr>
                  <w:tcW w:w="1267" w:type="pct"/>
                  <w:noWrap/>
                  <w:vAlign w:val="center"/>
                </w:tcPr>
                <w:p>
                  <w:pPr>
                    <w:pStyle w:val="58"/>
                    <w:bidi w:val="0"/>
                    <w:rPr>
                      <w:rFonts w:hint="eastAsia"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1004城镇村道路用地</w:t>
                  </w:r>
                </w:p>
              </w:tc>
              <w:tc>
                <w:tcPr>
                  <w:tcW w:w="102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6"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7" w:type="pct"/>
                  <w:gridSpan w:val="2"/>
                  <w:noWrap/>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总计</w:t>
                  </w:r>
                </w:p>
              </w:tc>
              <w:tc>
                <w:tcPr>
                  <w:tcW w:w="1028"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1"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046"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972" w:type="dxa"/>
                  <w:noWrap w:val="0"/>
                  <w:vAlign w:val="center"/>
                </w:tcPr>
                <w:p>
                  <w:pPr>
                    <w:pStyle w:val="58"/>
                    <w:bidi w:val="0"/>
                    <w:ind w:firstLine="0" w:firstLineChars="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bl>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、永久占地</w:t>
            </w:r>
          </w:p>
          <w:p>
            <w:pPr>
              <w:spacing w:line="360" w:lineRule="auto"/>
              <w:ind w:firstLine="4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本项目永久占地类型为</w:t>
            </w:r>
            <w:r>
              <w:rPr>
                <w:rFonts w:hint="eastAsia" w:ascii="仿宋" w:hAnsi="仿宋" w:eastAsia="仿宋" w:cs="仿宋"/>
                <w:color w:val="000000" w:themeColor="text1"/>
                <w:sz w:val="24"/>
                <w:szCs w:val="24"/>
                <w:lang w:val="en-US" w:eastAsia="zh-CN"/>
                <w14:textFill>
                  <w14:solidFill>
                    <w14:schemeClr w14:val="tx1"/>
                  </w14:solidFill>
                </w14:textFill>
              </w:rPr>
              <w:t>林地</w:t>
            </w:r>
            <w:r>
              <w:rPr>
                <w:rFonts w:hint="eastAsia" w:ascii="仿宋" w:hAnsi="仿宋" w:eastAsia="仿宋" w:cs="仿宋"/>
                <w:color w:val="000000" w:themeColor="text1"/>
                <w:sz w:val="24"/>
                <w:szCs w:val="24"/>
                <w14:textFill>
                  <w14:solidFill>
                    <w14:schemeClr w14:val="tx1"/>
                  </w14:solidFill>
                </w14:textFill>
              </w:rPr>
              <w:t>。施工占地对土地利用的影响直接表现在改变土地利用现状，导致各种类型的土地面积发生改变。本</w:t>
            </w:r>
            <w:r>
              <w:rPr>
                <w:rFonts w:hint="eastAsia" w:ascii="仿宋" w:hAnsi="仿宋" w:eastAsia="仿宋" w:cs="仿宋"/>
                <w:color w:val="000000" w:themeColor="text1"/>
                <w:sz w:val="24"/>
                <w:szCs w:val="24"/>
                <w:lang w:bidi="ar"/>
                <w14:textFill>
                  <w14:solidFill>
                    <w14:schemeClr w14:val="tx1"/>
                  </w14:solidFill>
                </w14:textFill>
              </w:rPr>
              <w:t>项目</w:t>
            </w:r>
            <w:r>
              <w:rPr>
                <w:rFonts w:hint="eastAsia" w:ascii="仿宋" w:hAnsi="仿宋" w:eastAsia="仿宋" w:cs="仿宋"/>
                <w:color w:val="000000" w:themeColor="text1"/>
                <w:sz w:val="24"/>
                <w:szCs w:val="24"/>
                <w:lang w:val="en-US" w:eastAsia="zh-CN" w:bidi="ar"/>
                <w14:textFill>
                  <w14:solidFill>
                    <w14:schemeClr w14:val="tx1"/>
                  </w14:solidFill>
                </w14:textFill>
              </w:rPr>
              <w:t>永久</w:t>
            </w:r>
            <w:r>
              <w:rPr>
                <w:rFonts w:hint="eastAsia" w:ascii="仿宋" w:hAnsi="仿宋" w:eastAsia="仿宋" w:cs="仿宋"/>
                <w:color w:val="000000" w:themeColor="text1"/>
                <w:sz w:val="24"/>
                <w:szCs w:val="24"/>
                <w:lang w:bidi="ar"/>
                <w14:textFill>
                  <w14:solidFill>
                    <w14:schemeClr w14:val="tx1"/>
                  </w14:solidFill>
                </w14:textFill>
              </w:rPr>
              <w:t>占地面积较小，</w:t>
            </w:r>
            <w:r>
              <w:rPr>
                <w:rFonts w:hint="eastAsia" w:ascii="仿宋" w:hAnsi="仿宋" w:eastAsia="仿宋" w:cs="仿宋"/>
                <w:color w:val="000000" w:themeColor="text1"/>
                <w:sz w:val="24"/>
                <w:szCs w:val="24"/>
                <w14:textFill>
                  <w14:solidFill>
                    <w14:schemeClr w14:val="tx1"/>
                  </w14:solidFill>
                </w14:textFill>
              </w:rPr>
              <w:t>约占整个评价区面积的</w:t>
            </w:r>
            <w:r>
              <w:rPr>
                <w:rFonts w:hint="eastAsia" w:ascii="仿宋" w:hAnsi="仿宋" w:eastAsia="仿宋" w:cs="仿宋"/>
                <w:color w:val="000000" w:themeColor="text1"/>
                <w:sz w:val="24"/>
                <w:szCs w:val="24"/>
                <w:highlight w:val="none"/>
                <w:lang w:val="en-US" w:eastAsia="zh-CN"/>
                <w14:textFill>
                  <w14:solidFill>
                    <w14:schemeClr w14:val="tx1"/>
                  </w14:solidFill>
                </w14:textFill>
              </w:rPr>
              <w:t>XX</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占地对区域土地利用的改变较小，对土地利用的影响较小。</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、临时占地</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临时占地以林地为主</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占地面积</w:t>
            </w:r>
            <w:r>
              <w:rPr>
                <w:rFonts w:hint="eastAsia" w:ascii="仿宋" w:hAnsi="仿宋" w:eastAsia="仿宋" w:cs="仿宋"/>
                <w:color w:val="000000" w:themeColor="text1"/>
                <w:sz w:val="24"/>
                <w:szCs w:val="24"/>
                <w:lang w:eastAsia="zh-CN"/>
                <w14:textFill>
                  <w14:solidFill>
                    <w14:schemeClr w14:val="tx1"/>
                  </w14:solidFill>
                </w14:textFill>
              </w:rPr>
              <w:t>约</w:t>
            </w:r>
            <w:r>
              <w:rPr>
                <w:rFonts w:hint="eastAsia" w:ascii="仿宋" w:hAnsi="仿宋" w:eastAsia="仿宋" w:cs="仿宋"/>
                <w:color w:val="000000" w:themeColor="text1"/>
                <w:sz w:val="24"/>
                <w:szCs w:val="24"/>
                <w14:textFill>
                  <w14:solidFill>
                    <w14:schemeClr w14:val="tx1"/>
                  </w14:solidFill>
                </w14:textFill>
              </w:rPr>
              <w:t>为</w:t>
            </w:r>
            <w:r>
              <w:rPr>
                <w:rFonts w:hint="eastAsia" w:ascii="仿宋" w:hAnsi="仿宋" w:eastAsia="仿宋" w:cs="仿宋"/>
                <w:color w:val="000000" w:themeColor="text1"/>
                <w:sz w:val="24"/>
                <w:szCs w:val="24"/>
                <w:lang w:val="en-US" w:eastAsia="zh-CN"/>
                <w14:textFill>
                  <w14:solidFill>
                    <w14:schemeClr w14:val="tx1"/>
                  </w14:solidFill>
                </w14:textFill>
              </w:rPr>
              <w:t>XX</w:t>
            </w:r>
            <w:r>
              <w:rPr>
                <w:rFonts w:hint="eastAsia" w:ascii="仿宋" w:hAnsi="仿宋" w:eastAsia="仿宋" w:cs="仿宋"/>
                <w:color w:val="000000" w:themeColor="text1"/>
                <w:sz w:val="24"/>
                <w:szCs w:val="24"/>
                <w14:textFill>
                  <w14:solidFill>
                    <w14:schemeClr w14:val="tx1"/>
                  </w14:solidFill>
                </w14:textFill>
              </w:rPr>
              <w:t>hm</w:t>
            </w:r>
            <w:r>
              <w:rPr>
                <w:rFonts w:hint="eastAsia" w:ascii="仿宋" w:hAnsi="仿宋" w:eastAsia="仿宋" w:cs="仿宋"/>
                <w:color w:val="000000" w:themeColor="text1"/>
                <w:sz w:val="24"/>
                <w:szCs w:val="24"/>
                <w:vertAlign w:val="superscript"/>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bidi="ar"/>
                <w14:textFill>
                  <w14:solidFill>
                    <w14:schemeClr w14:val="tx1"/>
                  </w14:solidFill>
                </w14:textFill>
              </w:rPr>
              <w:t>根据占地类型统计，项目</w:t>
            </w:r>
            <w:r>
              <w:rPr>
                <w:rFonts w:hint="eastAsia" w:ascii="仿宋" w:hAnsi="仿宋" w:eastAsia="仿宋" w:cs="仿宋"/>
                <w:color w:val="000000" w:themeColor="text1"/>
                <w:sz w:val="24"/>
                <w:szCs w:val="24"/>
                <w14:textFill>
                  <w14:solidFill>
                    <w14:schemeClr w14:val="tx1"/>
                  </w14:solidFill>
                </w14:textFill>
              </w:rPr>
              <w:t>临时</w:t>
            </w:r>
            <w:r>
              <w:rPr>
                <w:rFonts w:hint="eastAsia" w:ascii="仿宋" w:hAnsi="仿宋" w:eastAsia="仿宋" w:cs="仿宋"/>
                <w:color w:val="000000" w:themeColor="text1"/>
                <w:sz w:val="24"/>
                <w:szCs w:val="24"/>
                <w:lang w:bidi="ar"/>
                <w14:textFill>
                  <w14:solidFill>
                    <w14:schemeClr w14:val="tx1"/>
                  </w14:solidFill>
                </w14:textFill>
              </w:rPr>
              <w:t>占用的土地类型为</w:t>
            </w:r>
            <w:r>
              <w:rPr>
                <w:rFonts w:hint="eastAsia" w:ascii="仿宋" w:hAnsi="仿宋" w:eastAsia="仿宋" w:cs="仿宋"/>
                <w:color w:val="000000" w:themeColor="text1"/>
                <w:sz w:val="24"/>
                <w:szCs w:val="24"/>
                <w:lang w:val="en-US" w:eastAsia="zh-CN"/>
                <w14:textFill>
                  <w14:solidFill>
                    <w14:schemeClr w14:val="tx1"/>
                  </w14:solidFill>
                </w14:textFill>
              </w:rPr>
              <w:t>林地和</w:t>
            </w:r>
            <w:r>
              <w:rPr>
                <w:rFonts w:hint="eastAsia" w:ascii="仿宋" w:hAnsi="仿宋" w:eastAsia="仿宋" w:cs="仿宋"/>
                <w:color w:val="000000" w:themeColor="text1"/>
                <w:sz w:val="24"/>
                <w:szCs w:val="24"/>
                <w:lang w:val="en-US" w:eastAsia="zh-CN"/>
                <w14:textFill>
                  <w14:solidFill>
                    <w14:schemeClr w14:val="tx1"/>
                  </w14:solidFill>
                </w14:textFill>
              </w:rPr>
              <w:t>交通运输用地</w:t>
            </w:r>
            <w:r>
              <w:rPr>
                <w:rFonts w:hint="eastAsia" w:ascii="仿宋" w:hAnsi="仿宋" w:eastAsia="仿宋" w:cs="仿宋"/>
                <w:color w:val="000000" w:themeColor="text1"/>
                <w:sz w:val="24"/>
                <w:szCs w:val="24"/>
                <w:lang w:bidi="ar"/>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临时占地对土地利用的影响虽然也直接表现在改变土地利用现状，导致各种类型的土地面积发生改变，但是这种影响是暂时的，</w:t>
            </w:r>
            <w:r>
              <w:rPr>
                <w:rFonts w:hint="eastAsia" w:ascii="仿宋" w:hAnsi="仿宋" w:eastAsia="仿宋" w:cs="仿宋"/>
                <w:color w:val="000000" w:themeColor="text1"/>
                <w:sz w:val="24"/>
                <w:szCs w:val="24"/>
                <w:lang w:eastAsia="zh-CN"/>
                <w14:textFill>
                  <w14:solidFill>
                    <w14:schemeClr w14:val="tx1"/>
                  </w14:solidFill>
                </w14:textFill>
              </w:rPr>
              <w:t>可恢复。</w:t>
            </w:r>
            <w:r>
              <w:rPr>
                <w:rFonts w:hint="eastAsia" w:ascii="仿宋" w:hAnsi="仿宋" w:eastAsia="仿宋" w:cs="仿宋"/>
                <w:color w:val="000000" w:themeColor="text1"/>
                <w:sz w:val="24"/>
                <w:szCs w:val="24"/>
                <w:lang w:bidi="ar"/>
                <w14:textFill>
                  <w14:solidFill>
                    <w14:schemeClr w14:val="tx1"/>
                  </w14:solidFill>
                </w14:textFill>
              </w:rPr>
              <w:t>项目临时占地面积较小</w:t>
            </w:r>
            <w:r>
              <w:rPr>
                <w:rFonts w:hint="eastAsia" w:ascii="仿宋" w:hAnsi="仿宋" w:eastAsia="仿宋" w:cs="仿宋"/>
                <w:color w:val="000000" w:themeColor="text1"/>
                <w:sz w:val="24"/>
                <w:szCs w:val="24"/>
                <w:highlight w:val="none"/>
                <w:lang w:bidi="ar"/>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约占整个评价区面积的</w:t>
            </w:r>
            <w:r>
              <w:rPr>
                <w:rFonts w:hint="eastAsia" w:ascii="仿宋" w:hAnsi="仿宋" w:eastAsia="仿宋" w:cs="仿宋"/>
                <w:color w:val="000000" w:themeColor="text1"/>
                <w:sz w:val="24"/>
                <w:szCs w:val="24"/>
                <w:highlight w:val="none"/>
                <w:lang w:val="en-US" w:eastAsia="zh-CN"/>
                <w14:textFill>
                  <w14:solidFill>
                    <w14:schemeClr w14:val="tx1"/>
                  </w14:solidFill>
                </w14:textFill>
              </w:rPr>
              <w:t>XX</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临时占地对区域土地利用的改变较小，对土地利用的影响较小。</w:t>
            </w:r>
            <w:r>
              <w:rPr>
                <w:rFonts w:hint="eastAsia" w:ascii="仿宋" w:hAnsi="仿宋" w:eastAsia="仿宋" w:cs="仿宋"/>
                <w:color w:val="000000" w:themeColor="text1"/>
                <w:sz w:val="24"/>
                <w:szCs w:val="24"/>
                <w:lang w:bidi="ar"/>
                <w14:textFill>
                  <w14:solidFill>
                    <w14:schemeClr w14:val="tx1"/>
                  </w14:solidFill>
                </w14:textFill>
              </w:rPr>
              <w:t>并且</w:t>
            </w:r>
            <w:r>
              <w:rPr>
                <w:rFonts w:hint="eastAsia" w:ascii="仿宋" w:hAnsi="仿宋" w:eastAsia="仿宋" w:cs="仿宋"/>
                <w:color w:val="000000" w:themeColor="text1"/>
                <w:sz w:val="24"/>
                <w:szCs w:val="24"/>
                <w14:textFill>
                  <w14:solidFill>
                    <w14:schemeClr w14:val="tx1"/>
                  </w14:solidFill>
                </w14:textFill>
              </w:rPr>
              <w:t>随着施工期结束及通过覆土、植被恢复与生态修复，可逐步恢复至原有林地利用状态。临时占地占评价区面积比例小，不会造成区域土地利用结构显著改变，对土地利用格局无明显不利影响。</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1.2 施工期对植被及植物资源的影响</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工程建设对陆生植物影响主要为永久占地、临时占地对植被的直接影响，其次是施工中产生的扬尘、废水、固体废物对周边植被的间接影响。</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1、占地对植被的影响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占地将直接清除地表植被，损失植被以云南松、锥连栎灌丛、羊耳菊、小蓬草等区域常见乡土物种为主，无国家重点保护野生植物、云南省重点保护植物、古树名木及极小种群物种分布，无《中国生物多样性红色名录》受威胁物种，易于恢复，基建占地对区域的植物种类及植被类型造成影响较小。工程占地植被类型、面积及所占各植被类型面积比例详见下。</w:t>
            </w:r>
          </w:p>
          <w:p>
            <w:pPr>
              <w:pStyle w:val="57"/>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表</w:t>
            </w:r>
            <w:r>
              <w:rPr>
                <w:rFonts w:hint="eastAsia" w:ascii="仿宋" w:hAnsi="仿宋" w:eastAsia="仿宋" w:cs="仿宋"/>
                <w:color w:val="000000" w:themeColor="text1"/>
                <w:sz w:val="24"/>
                <w:szCs w:val="24"/>
                <w:lang w:val="en-US" w:eastAsia="zh-CN"/>
                <w14:textFill>
                  <w14:solidFill>
                    <w14:schemeClr w14:val="tx1"/>
                  </w14:solidFill>
                </w14:textFill>
              </w:rPr>
              <w:t>4-2</w:t>
            </w:r>
            <w:r>
              <w:rPr>
                <w:rFonts w:hint="eastAsia" w:ascii="仿宋" w:hAnsi="仿宋" w:eastAsia="仿宋" w:cs="仿宋"/>
                <w:color w:val="000000" w:themeColor="text1"/>
                <w:sz w:val="24"/>
                <w:szCs w:val="24"/>
                <w14:textFill>
                  <w14:solidFill>
                    <w14:schemeClr w14:val="tx1"/>
                  </w14:solidFill>
                </w14:textFill>
              </w:rPr>
              <w:t>本工程占用植被类型情况表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656"/>
              <w:gridCol w:w="1656"/>
              <w:gridCol w:w="985"/>
              <w:gridCol w:w="1113"/>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0" w:type="auto"/>
                  <w:vMerge w:val="restart"/>
                  <w:tcBorders>
                    <w:top w:val="single" w:color="auto" w:sz="4" w:space="0"/>
                    <w:left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植被型组</w:t>
                  </w:r>
                </w:p>
              </w:tc>
              <w:tc>
                <w:tcPr>
                  <w:tcW w:w="0" w:type="auto"/>
                  <w:vMerge w:val="restart"/>
                  <w:tcBorders>
                    <w:top w:val="single" w:color="auto" w:sz="4" w:space="0"/>
                    <w:left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群系</w:t>
                  </w:r>
                </w:p>
              </w:tc>
              <w:tc>
                <w:tcPr>
                  <w:tcW w:w="0" w:type="auto"/>
                  <w:gridSpan w:val="2"/>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永久占地</w:t>
                  </w:r>
                </w:p>
              </w:tc>
              <w:tc>
                <w:tcPr>
                  <w:tcW w:w="0" w:type="auto"/>
                  <w:gridSpan w:val="2"/>
                  <w:tcBorders>
                    <w:top w:val="single" w:color="auto" w:sz="4" w:space="0"/>
                    <w:left w:val="single" w:color="auto" w:sz="4" w:space="0"/>
                    <w:bottom w:val="single" w:color="auto" w:sz="4" w:space="0"/>
                    <w:right w:val="single" w:color="auto" w:sz="4" w:space="0"/>
                  </w:tcBorders>
                  <w:noWrap w:val="0"/>
                  <w:vAlign w:val="top"/>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p>
              </w:tc>
              <w:tc>
                <w:tcPr>
                  <w:tcW w:w="0" w:type="auto"/>
                  <w:vMerge w:val="continue"/>
                  <w:tcBorders>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面积（公顷）</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占比（%）</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面积（公顷）</w:t>
                  </w:r>
                </w:p>
              </w:tc>
              <w:tc>
                <w:tcPr>
                  <w:tcW w:w="0" w:type="auto"/>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0" w:type="auto"/>
                  <w:tcBorders>
                    <w:top w:val="single" w:color="auto" w:sz="4" w:space="0"/>
                    <w:left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森林</w:t>
                  </w: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云南松林</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0" w:type="auto"/>
                  <w:tcBorders>
                    <w:top w:val="single" w:color="auto" w:sz="4" w:space="0"/>
                    <w:left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灌丛</w:t>
                  </w: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椎连栎林</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0" w:type="auto"/>
                  <w:vMerge w:val="restart"/>
                  <w:tcBorders>
                    <w:top w:val="single" w:color="auto" w:sz="4" w:space="0"/>
                    <w:left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草本植被</w:t>
                  </w: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白茅</w:t>
                  </w:r>
                  <w:r>
                    <w:rPr>
                      <w:rFonts w:hint="eastAsia" w:ascii="仿宋" w:hAnsi="仿宋" w:eastAsia="仿宋" w:cs="仿宋"/>
                      <w:color w:val="000000" w:themeColor="text1"/>
                      <w:sz w:val="24"/>
                      <w:szCs w:val="24"/>
                      <w14:textFill>
                        <w14:solidFill>
                          <w14:schemeClr w14:val="tx1"/>
                        </w14:solidFill>
                      </w14:textFill>
                    </w:rPr>
                    <w:t>草丛</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黄茅</w:t>
                  </w:r>
                  <w:r>
                    <w:rPr>
                      <w:rFonts w:hint="eastAsia" w:ascii="仿宋" w:hAnsi="仿宋" w:eastAsia="仿宋" w:cs="仿宋"/>
                      <w:color w:val="000000" w:themeColor="text1"/>
                      <w:sz w:val="24"/>
                      <w:szCs w:val="24"/>
                      <w14:textFill>
                        <w14:solidFill>
                          <w14:schemeClr w14:val="tx1"/>
                        </w14:solidFill>
                      </w14:textFill>
                    </w:rPr>
                    <w:t>草丛</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tcBorders>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五节芒草丛</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0" w:type="auto"/>
                  <w:tcBorders>
                    <w:left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栽培植被</w:t>
                  </w: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玉米、</w:t>
                  </w:r>
                  <w:r>
                    <w:rPr>
                      <w:rFonts w:hint="eastAsia" w:ascii="仿宋" w:hAnsi="仿宋" w:eastAsia="仿宋" w:cs="仿宋"/>
                      <w:color w:val="000000" w:themeColor="text1"/>
                      <w:sz w:val="24"/>
                      <w:szCs w:val="24"/>
                      <w:lang w:val="en-US" w:eastAsia="zh-CN"/>
                      <w14:textFill>
                        <w14:solidFill>
                          <w14:schemeClr w14:val="tx1"/>
                        </w14:solidFill>
                      </w14:textFill>
                    </w:rPr>
                    <w:t>小麦</w:t>
                  </w:r>
                  <w:r>
                    <w:rPr>
                      <w:rFonts w:hint="eastAsia" w:ascii="仿宋" w:hAnsi="仿宋" w:eastAsia="仿宋" w:cs="仿宋"/>
                      <w:color w:val="000000" w:themeColor="text1"/>
                      <w:sz w:val="24"/>
                      <w:szCs w:val="24"/>
                      <w14:textFill>
                        <w14:solidFill>
                          <w14:schemeClr w14:val="tx1"/>
                        </w14:solidFill>
                      </w14:textFill>
                    </w:rPr>
                    <w:t>等</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0" w:type="auto"/>
                  <w:tcBorders>
                    <w:left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无植被地段</w:t>
                  </w:r>
                </w:p>
              </w:tc>
              <w:tc>
                <w:tcPr>
                  <w:tcW w:w="0" w:type="auto"/>
                  <w:tcBorders>
                    <w:top w:val="single" w:color="auto" w:sz="4" w:space="0"/>
                    <w:left w:val="single" w:color="auto" w:sz="4" w:space="0"/>
                    <w:bottom w:val="single" w:color="auto" w:sz="4" w:space="0"/>
                    <w:right w:val="single" w:color="auto" w:sz="4" w:space="0"/>
                  </w:tcBorders>
                  <w:noWrap/>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无植被地段</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pPr>
                    <w:pStyle w:val="58"/>
                    <w:bidi w:val="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合计</w:t>
                  </w:r>
                </w:p>
              </w:tc>
              <w:tc>
                <w:tcPr>
                  <w:tcW w:w="1656" w:type="dxa"/>
                  <w:tcBorders>
                    <w:top w:val="single" w:color="auto" w:sz="4" w:space="0"/>
                    <w:left w:val="single" w:color="auto" w:sz="4" w:space="0"/>
                    <w:bottom w:val="single" w:color="auto" w:sz="4" w:space="0"/>
                    <w:right w:val="single" w:color="auto" w:sz="4" w:space="0"/>
                  </w:tcBorders>
                  <w:noWrap/>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5"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c>
                <w:tcPr>
                  <w:tcW w:w="986" w:type="dxa"/>
                  <w:tcBorders>
                    <w:top w:val="single" w:color="auto" w:sz="4" w:space="0"/>
                    <w:left w:val="single" w:color="auto" w:sz="4" w:space="0"/>
                    <w:bottom w:val="single" w:color="auto" w:sz="4" w:space="0"/>
                    <w:right w:val="single" w:color="auto" w:sz="4" w:space="0"/>
                  </w:tcBorders>
                  <w:noWrap w:val="0"/>
                  <w:vAlign w:val="center"/>
                </w:tcPr>
                <w:p>
                  <w:pPr>
                    <w:pStyle w:val="58"/>
                    <w:bidi w:val="0"/>
                    <w:ind w:firstLine="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w:t>
                  </w:r>
                </w:p>
              </w:tc>
            </w:tr>
          </w:tbl>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（1）永久占地对植物及植被的影响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工程区永久占用植被面积为</w:t>
            </w:r>
            <w:r>
              <w:rPr>
                <w:rFonts w:hint="eastAsia" w:ascii="仿宋" w:hAnsi="仿宋" w:eastAsia="仿宋" w:cs="仿宋"/>
                <w:color w:val="000000" w:themeColor="text1"/>
                <w:sz w:val="24"/>
                <w:szCs w:val="24"/>
                <w14:textFill>
                  <w14:solidFill>
                    <w14:schemeClr w14:val="tx1"/>
                  </w14:solidFill>
                </w14:textFill>
              </w:rPr>
              <w:t>0.</w:t>
            </w:r>
            <w:r>
              <w:rPr>
                <w:rFonts w:hint="eastAsia" w:ascii="仿宋" w:hAnsi="仿宋" w:eastAsia="仿宋" w:cs="仿宋"/>
                <w:color w:val="000000" w:themeColor="text1"/>
                <w:sz w:val="24"/>
                <w:szCs w:val="24"/>
                <w:lang w:val="en-US" w:eastAsia="zh-CN"/>
                <w14:textFill>
                  <w14:solidFill>
                    <w14:schemeClr w14:val="tx1"/>
                  </w14:solidFill>
                </w14:textFill>
              </w:rPr>
              <w:t>66</w:t>
            </w:r>
            <w:r>
              <w:rPr>
                <w:rFonts w:hint="eastAsia" w:ascii="仿宋" w:hAnsi="仿宋" w:eastAsia="仿宋" w:cs="仿宋"/>
                <w:color w:val="000000" w:themeColor="text1"/>
                <w:sz w:val="24"/>
                <w:szCs w:val="24"/>
                <w14:textFill>
                  <w14:solidFill>
                    <w14:schemeClr w14:val="tx1"/>
                  </w14:solidFill>
                </w14:textFill>
              </w:rPr>
              <w:t>hm</w:t>
            </w:r>
            <w:r>
              <w:rPr>
                <w:rFonts w:hint="eastAsia" w:ascii="仿宋" w:hAnsi="仿宋" w:eastAsia="仿宋" w:cs="仿宋"/>
                <w:color w:val="000000" w:themeColor="text1"/>
                <w:sz w:val="24"/>
                <w:szCs w:val="24"/>
                <w:vertAlign w:val="superscript"/>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，占评价范围内总植被面积</w:t>
            </w:r>
            <w:r>
              <w:rPr>
                <w:rFonts w:hint="eastAsia" w:ascii="仿宋" w:hAnsi="仿宋" w:eastAsia="仿宋" w:cs="仿宋"/>
                <w:color w:val="000000" w:themeColor="text1"/>
                <w:sz w:val="24"/>
                <w:szCs w:val="24"/>
                <w:highlight w:val="none"/>
                <w14:textFill>
                  <w14:solidFill>
                    <w14:schemeClr w14:val="tx1"/>
                  </w14:solidFill>
                </w14:textFill>
              </w:rPr>
              <w:t>的</w:t>
            </w:r>
            <w:r>
              <w:rPr>
                <w:rFonts w:hint="eastAsia" w:ascii="仿宋" w:hAnsi="仿宋" w:eastAsia="仿宋" w:cs="仿宋"/>
                <w:color w:val="000000" w:themeColor="text1"/>
                <w:sz w:val="24"/>
                <w:szCs w:val="24"/>
                <w:highlight w:val="none"/>
                <w:lang w:val="en-US" w:eastAsia="zh-CN"/>
                <w14:textFill>
                  <w14:solidFill>
                    <w14:schemeClr w14:val="tx1"/>
                  </w14:solidFill>
                </w14:textFill>
              </w:rPr>
              <w:t>0.33</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永久占地对植物的影响是长期的、不可逆的。永久占地区施工将使区域内土地利用类型发生改变，植物个体损失，植被生物量减少。根据现场调查，受工程建设永久占地影响的植物如</w:t>
            </w:r>
            <w:r>
              <w:rPr>
                <w:rFonts w:hint="eastAsia" w:ascii="仿宋" w:hAnsi="仿宋" w:eastAsia="仿宋" w:cs="仿宋"/>
                <w:color w:val="000000" w:themeColor="text1"/>
                <w:sz w:val="24"/>
                <w:szCs w:val="24"/>
                <w:lang w:val="en-US" w:eastAsia="zh-CN"/>
                <w14:textFill>
                  <w14:solidFill>
                    <w14:schemeClr w14:val="tx1"/>
                  </w14:solidFill>
                </w14:textFill>
              </w:rPr>
              <w:t>云南松、椎连栎</w:t>
            </w:r>
            <w:r>
              <w:rPr>
                <w:rFonts w:hint="eastAsia" w:ascii="仿宋" w:hAnsi="仿宋" w:eastAsia="仿宋" w:cs="仿宋"/>
                <w:color w:val="000000" w:themeColor="text1"/>
                <w:sz w:val="24"/>
                <w:szCs w:val="24"/>
                <w14:textFill>
                  <w14:solidFill>
                    <w14:schemeClr w14:val="tx1"/>
                  </w14:solidFill>
                </w14:textFill>
              </w:rPr>
              <w:t>均为常见种</w:t>
            </w:r>
            <w:r>
              <w:rPr>
                <w:rFonts w:hint="eastAsia" w:ascii="仿宋" w:hAnsi="仿宋" w:eastAsia="仿宋" w:cs="仿宋"/>
                <w:color w:val="000000" w:themeColor="text1"/>
                <w:sz w:val="24"/>
                <w:szCs w:val="24"/>
                <w:lang w:eastAsia="zh-CN"/>
                <w14:textFill>
                  <w14:solidFill>
                    <w14:schemeClr w14:val="tx1"/>
                  </w14:solidFill>
                </w14:textFill>
              </w:rPr>
              <w:t>且占地规模小</w:t>
            </w:r>
            <w:r>
              <w:rPr>
                <w:rFonts w:hint="eastAsia" w:ascii="仿宋" w:hAnsi="仿宋" w:eastAsia="仿宋" w:cs="仿宋"/>
                <w:color w:val="000000" w:themeColor="text1"/>
                <w:sz w:val="24"/>
                <w:szCs w:val="24"/>
                <w14:textFill>
                  <w14:solidFill>
                    <w14:schemeClr w14:val="tx1"/>
                  </w14:solidFill>
                </w14:textFill>
              </w:rPr>
              <w:t>，因此工程建设永久占地对植物影响较小，仅为个体损失和植被生物量减少，由于其占用面积较小，对区域生物量变化影响不大。因此，工程建设永久占地对占地区植物种类、植被类型及生物量的影响较小</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不会改变区域植被类型、区系组成与生物多样性。</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（2）临时占地对植物及植被的影响</w:t>
            </w:r>
          </w:p>
          <w:p>
            <w:pPr>
              <w:spacing w:line="360" w:lineRule="auto"/>
              <w:ind w:firstLine="48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工程区临时占用植被面积</w:t>
            </w:r>
            <w:r>
              <w:rPr>
                <w:rFonts w:hint="eastAsia" w:ascii="仿宋" w:hAnsi="仿宋" w:eastAsia="仿宋" w:cs="仿宋"/>
                <w:color w:val="000000" w:themeColor="text1"/>
                <w:sz w:val="24"/>
                <w:szCs w:val="24"/>
                <w:highlight w:val="none"/>
                <w14:textFill>
                  <w14:solidFill>
                    <w14:schemeClr w14:val="tx1"/>
                  </w14:solidFill>
                </w14:textFill>
              </w:rPr>
              <w:t>为</w:t>
            </w:r>
            <w:r>
              <w:rPr>
                <w:rFonts w:hint="eastAsia" w:ascii="仿宋" w:hAnsi="仿宋" w:eastAsia="仿宋" w:cs="仿宋"/>
                <w:color w:val="000000" w:themeColor="text1"/>
                <w:sz w:val="24"/>
                <w:szCs w:val="24"/>
                <w:highlight w:val="none"/>
                <w:lang w:val="en-US" w:eastAsia="zh-CN"/>
                <w14:textFill>
                  <w14:solidFill>
                    <w14:schemeClr w14:val="tx1"/>
                  </w14:solidFill>
                </w14:textFill>
              </w:rPr>
              <w:t>11.73</w:t>
            </w:r>
            <w:r>
              <w:rPr>
                <w:rFonts w:hint="eastAsia" w:ascii="仿宋" w:hAnsi="仿宋" w:eastAsia="仿宋" w:cs="仿宋"/>
                <w:color w:val="000000" w:themeColor="text1"/>
                <w:sz w:val="24"/>
                <w:szCs w:val="24"/>
                <w:highlight w:val="none"/>
                <w14:textFill>
                  <w14:solidFill>
                    <w14:schemeClr w14:val="tx1"/>
                  </w14:solidFill>
                </w14:textFill>
              </w:rPr>
              <w:t>hm</w:t>
            </w:r>
            <w:r>
              <w:rPr>
                <w:rFonts w:hint="eastAsia" w:ascii="仿宋" w:hAnsi="仿宋" w:eastAsia="仿宋" w:cs="仿宋"/>
                <w:color w:val="000000" w:themeColor="text1"/>
                <w:sz w:val="24"/>
                <w:szCs w:val="24"/>
                <w:highlight w:val="none"/>
                <w:vertAlign w:val="superscript"/>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，占评价范围内总植被面积的</w:t>
            </w:r>
            <w:r>
              <w:rPr>
                <w:rFonts w:hint="eastAsia" w:ascii="仿宋" w:hAnsi="仿宋" w:eastAsia="仿宋" w:cs="仿宋"/>
                <w:color w:val="000000" w:themeColor="text1"/>
                <w:sz w:val="24"/>
                <w:szCs w:val="24"/>
                <w:highlight w:val="none"/>
                <w14:textFill>
                  <w14:solidFill>
                    <w14:schemeClr w14:val="tx1"/>
                  </w14:solidFill>
                </w14:textFill>
              </w:rPr>
              <w:t>0.5</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。工程临时占地对占地区植物及植被的影响是暂时的、可恢复的。工程临时占用植被类型主要有</w:t>
            </w:r>
            <w:r>
              <w:rPr>
                <w:rFonts w:hint="eastAsia" w:ascii="仿宋" w:hAnsi="仿宋" w:eastAsia="仿宋" w:cs="仿宋"/>
                <w:color w:val="000000" w:themeColor="text1"/>
                <w:sz w:val="24"/>
                <w:szCs w:val="24"/>
                <w:highlight w:val="none"/>
                <w:lang w:val="en-US" w:eastAsia="zh-CN"/>
                <w14:textFill>
                  <w14:solidFill>
                    <w14:schemeClr w14:val="tx1"/>
                  </w14:solidFill>
                </w14:textFill>
              </w:rPr>
              <w:t>云南松、椎连栎</w:t>
            </w:r>
            <w:r>
              <w:rPr>
                <w:rFonts w:hint="eastAsia" w:ascii="仿宋" w:hAnsi="仿宋" w:eastAsia="仿宋" w:cs="仿宋"/>
                <w:color w:val="000000" w:themeColor="text1"/>
                <w:sz w:val="24"/>
                <w:szCs w:val="24"/>
                <w:highlight w:val="none"/>
                <w14:textFill>
                  <w14:solidFill>
                    <w14:schemeClr w14:val="tx1"/>
                  </w14:solidFill>
                </w14:textFill>
              </w:rPr>
              <w:t>等，占地范围内的植被在施工前将会清除，会直接造成植被的损失。由于本项目临时占地面积较小，且占地范围内的植被均为当地的常见植被，不会造成植物种类的减少，且临时占地损失的植被将在</w:t>
            </w:r>
            <w:r>
              <w:rPr>
                <w:rFonts w:hint="eastAsia" w:ascii="仿宋" w:hAnsi="仿宋" w:eastAsia="仿宋" w:cs="仿宋"/>
                <w:color w:val="000000" w:themeColor="text1"/>
                <w:sz w:val="24"/>
                <w:szCs w:val="24"/>
                <w:highlight w:val="none"/>
                <w:lang w:val="en-US" w:eastAsia="zh-CN"/>
                <w14:textFill>
                  <w14:solidFill>
                    <w14:schemeClr w14:val="tx1"/>
                  </w14:solidFill>
                </w14:textFill>
              </w:rPr>
              <w:t>施工结束后开展生态修复与植被重建，1–2 年可逐步恢复至原有覆盖度与群落结构。临时占地范围可控、物种常见，不会导致区域植物种类减少。</w:t>
            </w:r>
          </w:p>
          <w:p>
            <w:pPr>
              <w:spacing w:line="360" w:lineRule="auto"/>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在施工前加强施工人员的宣传教育，施工过程中严格控制施工范围等措施实施后，施工占地对植被的影响较小。</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（3）对植被覆盖度的影响</w:t>
            </w:r>
          </w:p>
          <w:p>
            <w:pPr>
              <w:spacing w:line="360" w:lineRule="auto"/>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永久占地硬化地面植被覆盖度将变为0，但占比较小，对区域整体覆盖度影响较小。施工期应严格控制在占地范围内施工，尽量减小对植被的破坏。</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临时占地在项目建设完成后及时对该地段将进行植被恢复，短期内（1年-2年）能恢复原有植被覆盖度现状水平。临时占地面积较小，且临时占地施工对植被覆盖度的影响是暂时的，随着施工结束，植被将逐渐恢复至原有水平，因此本项目对区域植被覆盖度的影响较小。</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2、施工活动对植被的影响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施工期施工活动对植物及植被的影响因素主要有施工活动产生废水、废气、固废及人为干扰等。依据施工活动对植物的影响方式，可分为直接影响及间接影响，直接影响主要是指人员活动、车辆碾压等会使周边植物个体损失，植被生物量减少；间接影响主要是指施工过程中产生的废气、废水、固废、扬尘等会使周边植物的生命活动受阻。</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由于本工程占地区相对集中，同时施工期人为干扰等可通过加强宣传教育活动，加强施工监理，在施工前划定施工范围，规范施工人员活动等进行缓解，废气、废水、固废、扬尘等措施落实后，施工活动对植物及植被的影响较小。</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1.3 施工期对野生动物的影响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施工期间新增占地对动物的影响主要体现在基建占地、施工噪声、震动、灯光及人为干扰等。动物对声音极其敏感，施工期间的噪声影响包括施工人员噪声及机械噪声影响，这些噪声会导致动物觅食、活动时避开施工区域，转移到其他区域范围内活动；震动会导致动物栖息巢穴坍塌等情况发生，施工期间观察施工占用区域是否有动物巢穴，如有动物巢穴需进行驱赶、转移；夜行动物对灯光极其敏感，夜间施工强光会导致夜行动物觅食、活动时避开施工区域，转移到其他区域范围内活动，导致沿线周边区域内的野生动物密度会有所下降。距现场走访调查及查阅资料，未发现项目占地区域有野生动物栖息地分布，并且项目占地面积较小，周边相同生境较多，动物很容易找到栖息场所。因此，施工期施工沿线周边区域内的野生动物密度会有所下降，但区域野生动物的种群数量不会有大的变化，对野生动物的影响较小。施工临时占地在施工期结束后进行植被恢复和保护措施，对陆生动物的影响只是暂时的。在施工中对施工人员提出野生动物的保护要求，并开展宣传教育，以最大限度地减少对野生动物的影响；施工结束后，及时对占用的动物生境进行恢复。因此施工期对野生动物的影响较小。</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1.4 施工期对生态系统的影响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施工对生态系统的影响主要体现在地表扰动、植被损失、水土流失风险、水源涵养功能短期减弱</w:t>
            </w:r>
            <w:r>
              <w:rPr>
                <w:rFonts w:hint="eastAsia" w:ascii="仿宋" w:hAnsi="仿宋" w:eastAsia="仿宋" w:cs="仿宋"/>
                <w:color w:val="000000" w:themeColor="text1"/>
                <w:sz w:val="24"/>
                <w:szCs w:val="24"/>
                <w:lang w:eastAsia="zh-CN"/>
                <w14:textFill>
                  <w14:solidFill>
                    <w14:schemeClr w14:val="tx1"/>
                  </w14:solidFill>
                </w14:textFill>
              </w:rPr>
              <w:t>。本项目</w:t>
            </w:r>
            <w:r>
              <w:rPr>
                <w:rFonts w:hint="eastAsia" w:ascii="仿宋" w:hAnsi="仿宋" w:eastAsia="仿宋" w:cs="仿宋"/>
                <w:color w:val="000000" w:themeColor="text1"/>
                <w:sz w:val="24"/>
                <w:szCs w:val="24"/>
                <w14:textFill>
                  <w14:solidFill>
                    <w14:schemeClr w14:val="tx1"/>
                  </w14:solidFill>
                </w14:textFill>
              </w:rPr>
              <w:t>占地范围内的</w:t>
            </w:r>
            <w:r>
              <w:rPr>
                <w:rFonts w:hint="eastAsia" w:ascii="仿宋" w:hAnsi="仿宋" w:eastAsia="仿宋" w:cs="仿宋"/>
                <w:color w:val="000000" w:themeColor="text1"/>
                <w:kern w:val="0"/>
                <w:sz w:val="24"/>
                <w:szCs w:val="24"/>
                <w14:textFill>
                  <w14:solidFill>
                    <w14:schemeClr w14:val="tx1"/>
                  </w14:solidFill>
                </w14:textFill>
              </w:rPr>
              <w:t>植物均为常见植物，</w:t>
            </w:r>
            <w:r>
              <w:rPr>
                <w:rFonts w:hint="eastAsia" w:ascii="仿宋" w:hAnsi="仿宋" w:eastAsia="仿宋" w:cs="仿宋"/>
                <w:color w:val="000000" w:themeColor="text1"/>
                <w:sz w:val="24"/>
                <w:szCs w:val="24"/>
                <w14:textFill>
                  <w14:solidFill>
                    <w14:schemeClr w14:val="tx1"/>
                  </w14:solidFill>
                </w14:textFill>
              </w:rPr>
              <w:t>工程建设不会对区域植物种类和植被覆盖率造成大的影响，对区域的植物多样性影响较小。</w:t>
            </w:r>
            <w:r>
              <w:rPr>
                <w:rFonts w:hint="eastAsia" w:ascii="仿宋" w:hAnsi="仿宋" w:eastAsia="仿宋" w:cs="仿宋"/>
                <w:color w:val="000000" w:themeColor="text1"/>
                <w:kern w:val="0"/>
                <w:sz w:val="24"/>
                <w:szCs w:val="24"/>
                <w14:textFill>
                  <w14:solidFill>
                    <w14:schemeClr w14:val="tx1"/>
                  </w14:solidFill>
                </w14:textFill>
              </w:rPr>
              <w:t>根据现场调查，占地范围的生境与影响范围周边的生态环境相似，可为影响范围内的动物提供良好的生存生长空间，项目施工不会导致区域动物多样性减少。因此，项目建设不会对区域生物多样性造成较大影响。</w:t>
            </w:r>
          </w:p>
          <w:p>
            <w:pPr>
              <w:spacing w:line="360" w:lineRule="auto"/>
              <w:ind w:firstLine="4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工程施工建设期间，占地将破坏地表植被，导致占地区域内的水源涵养功能有所下降；</w:t>
            </w:r>
            <w:r>
              <w:rPr>
                <w:rFonts w:hint="eastAsia" w:ascii="仿宋" w:hAnsi="仿宋" w:eastAsia="仿宋" w:cs="仿宋"/>
                <w:color w:val="000000" w:themeColor="text1"/>
                <w:kern w:val="0"/>
                <w:sz w:val="24"/>
                <w:szCs w:val="24"/>
                <w:lang w:val="en-US" w:eastAsia="zh-CN"/>
                <w14:textFill>
                  <w14:solidFill>
                    <w14:schemeClr w14:val="tx1"/>
                  </w14:solidFill>
                </w14:textFill>
              </w:rPr>
              <w:t>开关站、风电机组、箱变</w:t>
            </w:r>
            <w:r>
              <w:rPr>
                <w:rFonts w:hint="eastAsia" w:ascii="仿宋" w:hAnsi="仿宋" w:eastAsia="仿宋" w:cs="仿宋"/>
                <w:color w:val="000000" w:themeColor="text1"/>
                <w:kern w:val="0"/>
                <w:sz w:val="24"/>
                <w:szCs w:val="24"/>
                <w14:textFill>
                  <w14:solidFill>
                    <w14:schemeClr w14:val="tx1"/>
                  </w14:solidFill>
                </w14:textFill>
              </w:rPr>
              <w:t>、进</w:t>
            </w:r>
            <w:r>
              <w:rPr>
                <w:rFonts w:hint="eastAsia" w:ascii="仿宋" w:hAnsi="仿宋" w:eastAsia="仿宋" w:cs="仿宋"/>
                <w:color w:val="000000" w:themeColor="text1"/>
                <w:kern w:val="0"/>
                <w:sz w:val="24"/>
                <w:szCs w:val="24"/>
                <w:lang w:val="en-US" w:eastAsia="zh-CN"/>
                <w14:textFill>
                  <w14:solidFill>
                    <w14:schemeClr w14:val="tx1"/>
                  </w14:solidFill>
                </w14:textFill>
              </w:rPr>
              <w:t>站</w:t>
            </w:r>
            <w:r>
              <w:rPr>
                <w:rFonts w:hint="eastAsia" w:ascii="仿宋" w:hAnsi="仿宋" w:eastAsia="仿宋" w:cs="仿宋"/>
                <w:color w:val="000000" w:themeColor="text1"/>
                <w:kern w:val="0"/>
                <w:sz w:val="24"/>
                <w:szCs w:val="24"/>
                <w14:textFill>
                  <w14:solidFill>
                    <w14:schemeClr w14:val="tx1"/>
                  </w14:solidFill>
                </w14:textFill>
              </w:rPr>
              <w:t>道路、</w:t>
            </w:r>
            <w:r>
              <w:rPr>
                <w:rFonts w:hint="eastAsia" w:ascii="仿宋" w:hAnsi="仿宋" w:eastAsia="仿宋" w:cs="仿宋"/>
                <w:color w:val="000000" w:themeColor="text1"/>
                <w:kern w:val="0"/>
                <w:sz w:val="24"/>
                <w:szCs w:val="24"/>
                <w:lang w:val="en-US" w:eastAsia="zh-CN"/>
                <w14:textFill>
                  <w14:solidFill>
                    <w14:schemeClr w14:val="tx1"/>
                  </w14:solidFill>
                </w14:textFill>
              </w:rPr>
              <w:t>堆场、渣场等</w:t>
            </w:r>
            <w:r>
              <w:rPr>
                <w:rFonts w:hint="eastAsia" w:ascii="仿宋" w:hAnsi="仿宋" w:eastAsia="仿宋" w:cs="仿宋"/>
                <w:color w:val="000000" w:themeColor="text1"/>
                <w:kern w:val="0"/>
                <w:sz w:val="24"/>
                <w:szCs w:val="24"/>
                <w14:textFill>
                  <w14:solidFill>
                    <w14:schemeClr w14:val="tx1"/>
                  </w14:solidFill>
                </w14:textFill>
              </w:rPr>
              <w:t>占地会破坏植被，使区域植被减少，对区域水源涵养功能造成影响；施工占地的开挖平整会破坏地表植被，造成一定面积的地表裸露，受雨水冲刷时容易造成水土流失。本项目占地面积较小，</w:t>
            </w:r>
            <w:r>
              <w:rPr>
                <w:rFonts w:hint="eastAsia" w:ascii="仿宋" w:hAnsi="仿宋" w:eastAsia="仿宋" w:cs="仿宋"/>
                <w:color w:val="000000" w:themeColor="text1"/>
                <w:kern w:val="0"/>
                <w:sz w:val="24"/>
                <w:szCs w:val="24"/>
                <w:lang w:val="en-US" w:eastAsia="zh-CN"/>
                <w14:textFill>
                  <w14:solidFill>
                    <w14:schemeClr w14:val="tx1"/>
                  </w14:solidFill>
                </w14:textFill>
              </w:rPr>
              <w:t>破坏地表植被面积较小</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植被损失造成的水源涵养影响较小。临时占地在施工结束后完成植被恢复、土地复垦，生态系统功能逐步回升，水源涵养、土壤保持、生物栖息功能可恢复至接近原有水平。总体而言，施工对生态系统的干扰局部、短期、可控。</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1.5 对生物多样性的影响</w:t>
            </w:r>
          </w:p>
          <w:p>
            <w:pPr>
              <w:spacing w:line="360" w:lineRule="auto"/>
              <w:ind w:firstLine="4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项目施工扰动范围集中，影响物种均为区域广布种，不涉及保护物种与敏感生境，不会造成物种消失与基因资源损失。</w:t>
            </w:r>
          </w:p>
          <w:p>
            <w:pPr>
              <w:spacing w:line="360" w:lineRule="auto"/>
              <w:ind w:firstLine="4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施工可能使局部耐干扰物种占比上升、敏感物种短期减少，但因扰动范围小、周边同质生境充足，对区域物种丰富度、均匀度、生态位多样性无显著影响。施工后通过生态修复，群落结构与覆盖度逐步恢复，生物多样性可得到有效维持。</w:t>
            </w:r>
          </w:p>
          <w:p>
            <w:pPr>
              <w:spacing w:line="360" w:lineRule="auto"/>
              <w:ind w:firstLine="4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因此，本项目建设不会改变当地的主要植被类型，对动物影响较小，不会对生物多样性产生明显影响。</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1.6 对景观生态的影响</w:t>
            </w:r>
          </w:p>
          <w:p>
            <w:pPr>
              <w:spacing w:line="360" w:lineRule="auto"/>
              <w:ind w:firstLine="480"/>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从景观尺度来看，区域景观类型数保持不变，但施工会造成局部林地景观变为施工裸地与建设用地，使景观斑块出现短期破碎化、异质性小幅上升，但项目占地规模小、区域景观以山地林地为主，不会改变区域景观格局与连通性。临时占地恢复后，景观可回归原有状态，对景观生态影响轻微</w:t>
            </w:r>
            <w:r>
              <w:rPr>
                <w:rFonts w:hint="eastAsia" w:ascii="仿宋" w:hAnsi="仿宋" w:eastAsia="仿宋" w:cs="仿宋"/>
                <w:color w:val="000000" w:themeColor="text1"/>
                <w:kern w:val="0"/>
                <w:sz w:val="24"/>
                <w:szCs w:val="24"/>
                <w:lang w:val="en-US" w:eastAsia="zh-CN"/>
                <w14:textFill>
                  <w14:solidFill>
                    <w14:schemeClr w14:val="tx1"/>
                  </w14:solidFill>
                </w14:textFill>
              </w:rPr>
              <w:t>，因此项目施工对景观生态的影响较小。</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1.7 对永久基本农田的影响分析</w:t>
            </w:r>
          </w:p>
          <w:p>
            <w:pPr>
              <w:spacing w:line="360" w:lineRule="auto"/>
              <w:ind w:firstLine="4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本项目不占用永久基本农田，工程选址主动避让永久基本农田、生态保护红线、天然乔木林与国家级公益林，最近距离满足安全管控要求，施工活动不侵入基本农田范围，对永久基本农田无不利影响。</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1.8 施工期生态环境影响分析</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（1）施工征占地</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工程总占地48485.72m²，其中永久占地3825.13m²，临时占地44660.59m²。占地将压占、损毁区域原有植被，永久或临时改变土地利用性质，扰动地表结构。</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（2）风机、箱变及开关站区</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风机基础、箱变基础、开关站场地开挖与平整产生土石方，优先回填利用，剩余弃渣清运至规划弃渣场统一堆存。施工开挖将直接损毁地表植被、破坏土体结构，在降雨条件下可能产生水土流失影响。</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（3）集电线路敷设</w:t>
            </w:r>
          </w:p>
          <w:p>
            <w:pPr>
              <w:snapToGrid w:val="0"/>
              <w:spacing w:line="360" w:lineRule="auto"/>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本工程集电线路采用35kV电缆直埋敷设，不设架空塔基。电缆沟槽开挖将破坏沿线植被、扰动地表，存在一定水土流失风险；施工结束后及时回填与植被恢复，影响可控。</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结论：</w:t>
            </w:r>
            <w:r>
              <w:rPr>
                <w:rFonts w:hint="eastAsia" w:ascii="仿宋" w:hAnsi="仿宋" w:eastAsia="仿宋" w:cs="仿宋"/>
                <w:color w:val="000000" w:themeColor="text1"/>
                <w:sz w:val="24"/>
                <w:szCs w:val="24"/>
                <w:lang w:val="en-US" w:eastAsia="zh-CN"/>
                <w14:textFill>
                  <w14:solidFill>
                    <w14:schemeClr w14:val="tx1"/>
                  </w14:solidFill>
                </w14:textFill>
              </w:rPr>
              <w:t>项目建设</w:t>
            </w:r>
            <w:r>
              <w:rPr>
                <w:rFonts w:hint="eastAsia" w:ascii="仿宋" w:hAnsi="仿宋" w:eastAsia="仿宋" w:cs="仿宋"/>
                <w:color w:val="000000" w:themeColor="text1"/>
                <w:sz w:val="24"/>
                <w:szCs w:val="24"/>
                <w14:textFill>
                  <w14:solidFill>
                    <w14:schemeClr w14:val="tx1"/>
                  </w14:solidFill>
                </w14:textFill>
              </w:rPr>
              <w:t>对陆生生态环境的影响主要表现为建设工程以及施工占地引起自然地貌的改变和地表自然及人工植被的破坏引起土地利用的改变；施工占地及工程机械、车辆运输噪音、灯光、振动及人员活动等对动物的影响。施工期将不可避免造成植物损失，项目施工占地区植被群落结构简单，未见有国家保护的珍稀濒危植物和古树名木，施工期会直接造成植被损失，由于项目占地面积较小，占用的植被在项目周边广泛分布，项目占地不会改变区域的植物种类及植被类型。施工期间，落实废气、废水等措施后对周边植被得影响较小。施工噪声、灯光以及施工活动将会干扰周边动物活动，项目周边均为常见动物种类，严格落实噪声降噪、避开动物活动时间施工等措施，施工期对周边动物的影响较小。建议项目施工前，优化占地布局，施工时需严格控制施工作业带宽度，加强施工队伍管理；对开挖地段的植被及表土就近保存、培植，可减少植被的破坏量，缩短植被重建的时间。施工期结束后，水土保持措施得到实施后，进行植被种植和生态恢复，增加绿化植被，施工期严格履行各项污染治理措施，采用低噪声设备、运输车辆限速、禁鸣等措施，对生态系统、景观及动植物的影响可接受。</w:t>
            </w:r>
          </w:p>
          <w:p>
            <w:pPr>
              <w:keepNext/>
              <w:keepLines/>
              <w:widowControl w:val="0"/>
              <w:numPr>
                <w:ilvl w:val="0"/>
                <w:numId w:val="0"/>
              </w:numPr>
              <w:snapToGrid w:val="0"/>
              <w:spacing w:beforeLines="0" w:beforeAutospacing="0" w:afterLines="0" w:afterAutospacing="0" w:line="360" w:lineRule="auto"/>
              <w:ind w:firstLine="482" w:firstLineChars="200"/>
              <w:jc w:val="both"/>
              <w:outlineLvl w:val="2"/>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2、 施工期工艺流程及产污环节分析</w:t>
            </w:r>
          </w:p>
          <w:p>
            <w:pPr>
              <w:keepNext w:val="0"/>
              <w:keepLines w:val="0"/>
              <w:widowControl/>
              <w:suppressLineNumbers w:val="0"/>
              <w:snapToGrid w:val="0"/>
              <w:spacing w:line="360" w:lineRule="auto"/>
              <w:ind w:firstLine="480" w:firstLineChars="200"/>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施工期优先开展进场及场内道路改扩建、场地平整、风机安装平台施工，随后开展主体工程施工，依次为35kV开关站施工、风电机组基础施工、箱变施工、35kV集电线路直埋敷设、设备安装与调试。项目施工过程中会产生施工扬尘、</w:t>
            </w:r>
            <w:r>
              <w:rPr>
                <w:rFonts w:hint="eastAsia" w:ascii="仿宋" w:hAnsi="仿宋" w:eastAsia="仿宋" w:cs="仿宋"/>
                <w:color w:val="000000" w:themeColor="text1"/>
                <w:sz w:val="24"/>
                <w:szCs w:val="24"/>
                <w:highlight w:val="none"/>
                <w:lang w:val="en-US" w:eastAsia="zh-CN"/>
                <w14:textFill>
                  <w14:solidFill>
                    <w14:schemeClr w14:val="tx1"/>
                  </w14:solidFill>
                </w14:textFill>
              </w:rPr>
              <w:t>施工废水、</w:t>
            </w:r>
            <w:r>
              <w:rPr>
                <w:rFonts w:hint="eastAsia" w:ascii="仿宋" w:hAnsi="仿宋" w:eastAsia="仿宋" w:cs="仿宋"/>
                <w:color w:val="000000" w:themeColor="text1"/>
                <w:sz w:val="24"/>
                <w:szCs w:val="24"/>
                <w:highlight w:val="none"/>
                <w14:textFill>
                  <w14:solidFill>
                    <w14:schemeClr w14:val="tx1"/>
                  </w14:solidFill>
                </w14:textFill>
              </w:rPr>
              <w:t>噪声和</w:t>
            </w:r>
            <w:r>
              <w:rPr>
                <w:rFonts w:hint="eastAsia" w:ascii="仿宋" w:hAnsi="仿宋" w:eastAsia="仿宋" w:cs="仿宋"/>
                <w:color w:val="000000" w:themeColor="text1"/>
                <w:sz w:val="24"/>
                <w:szCs w:val="24"/>
                <w:highlight w:val="none"/>
                <w:lang w:val="en-US" w:eastAsia="zh-CN"/>
                <w14:textFill>
                  <w14:solidFill>
                    <w14:schemeClr w14:val="tx1"/>
                  </w14:solidFill>
                </w14:textFill>
              </w:rPr>
              <w:t>固体废物</w:t>
            </w:r>
            <w:r>
              <w:rPr>
                <w:rFonts w:hint="eastAsia" w:ascii="仿宋" w:hAnsi="仿宋" w:eastAsia="仿宋" w:cs="仿宋"/>
                <w:color w:val="000000" w:themeColor="text1"/>
                <w:sz w:val="24"/>
                <w:szCs w:val="24"/>
                <w:highlight w:val="none"/>
                <w14:textFill>
                  <w14:solidFill>
                    <w14:schemeClr w14:val="tx1"/>
                  </w14:solidFill>
                </w14:textFill>
              </w:rPr>
              <w:t>等，项目施工工艺流程及产污节点示意图见图4-1</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p>
            <w:pPr>
              <w:keepNext/>
              <w:keepLines/>
              <w:widowControl w:val="0"/>
              <w:numPr>
                <w:ilvl w:val="0"/>
                <w:numId w:val="0"/>
              </w:numPr>
              <w:snapToGrid w:val="0"/>
              <w:spacing w:beforeLines="0" w:beforeAutospacing="0" w:afterLines="0" w:afterAutospacing="0" w:line="360" w:lineRule="auto"/>
              <w:ind w:firstLine="0" w:firstLineChars="0"/>
              <w:jc w:val="center"/>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object>
                <v:shape id="_x0000_i1025" o:spt="75" type="#_x0000_t75" style="height:227.7pt;width:495.5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p>
          <w:p>
            <w:pPr>
              <w:keepNext/>
              <w:keepLines/>
              <w:widowControl w:val="0"/>
              <w:numPr>
                <w:ilvl w:val="0"/>
                <w:numId w:val="0"/>
              </w:numPr>
              <w:snapToGrid w:val="0"/>
              <w:spacing w:beforeLines="0" w:beforeAutospacing="0" w:afterLines="0" w:afterAutospacing="0" w:line="360" w:lineRule="auto"/>
              <w:ind w:firstLine="0" w:firstLineChars="0"/>
              <w:jc w:val="center"/>
              <w:outlineLvl w:val="2"/>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图4-1  工程施工工艺流程及产污环节图</w:t>
            </w:r>
          </w:p>
          <w:p>
            <w:pPr>
              <w:keepNext/>
              <w:keepLines/>
              <w:widowControl w:val="0"/>
              <w:numPr>
                <w:ilvl w:val="0"/>
                <w:numId w:val="0"/>
              </w:numPr>
              <w:snapToGrid w:val="0"/>
              <w:spacing w:beforeLines="0" w:beforeAutospacing="0" w:afterLines="0" w:afterAutospacing="0" w:line="360" w:lineRule="auto"/>
              <w:ind w:firstLine="0" w:firstLineChars="0"/>
              <w:jc w:val="center"/>
              <w:outlineLvl w:val="2"/>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object>
                <v:shape id="_x0000_i1026" o:spt="75" type="#_x0000_t75" style="height:177.7pt;width:385.15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6" r:id="rId19">
                  <o:LockedField>false</o:LockedField>
                </o:OLEObject>
              </w:object>
            </w:r>
          </w:p>
          <w:p>
            <w:pPr>
              <w:keepNext/>
              <w:keepLines/>
              <w:widowControl w:val="0"/>
              <w:numPr>
                <w:ilvl w:val="0"/>
                <w:numId w:val="0"/>
              </w:numPr>
              <w:snapToGrid w:val="0"/>
              <w:spacing w:beforeLines="0" w:beforeAutospacing="0" w:afterLines="0" w:afterAutospacing="0" w:line="360" w:lineRule="auto"/>
              <w:ind w:firstLine="0" w:firstLineChars="0"/>
              <w:jc w:val="center"/>
              <w:outlineLvl w:val="2"/>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图4-2  开关站工艺流程及产污环节图</w:t>
            </w:r>
          </w:p>
          <w:p>
            <w:pPr>
              <w:keepNext/>
              <w:keepLines/>
              <w:widowControl w:val="0"/>
              <w:numPr>
                <w:ilvl w:val="0"/>
                <w:numId w:val="0"/>
              </w:numPr>
              <w:snapToGrid w:val="0"/>
              <w:spacing w:beforeLines="0" w:beforeAutospacing="0" w:afterLines="0" w:afterAutospacing="0" w:line="360" w:lineRule="auto"/>
              <w:ind w:firstLine="482" w:firstLineChars="200"/>
              <w:jc w:val="both"/>
              <w:outlineLvl w:val="2"/>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3、施工期主要污染源强分析</w:t>
            </w:r>
          </w:p>
          <w:p>
            <w:pPr>
              <w:snapToGrid w:val="0"/>
              <w:spacing w:line="360" w:lineRule="auto"/>
              <w:ind w:firstLine="482" w:firstLineChars="200"/>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3.1施工期地表水环境影响分析</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1、施工废水</w:t>
            </w:r>
          </w:p>
          <w:p>
            <w:pPr>
              <w:snapToGrid w:val="0"/>
              <w:spacing w:line="360" w:lineRule="auto"/>
              <w:ind w:firstLine="498" w:firstLineChars="200"/>
              <w:jc w:val="both"/>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pPr>
            <w:r>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t>（1）施工机械清洗废水</w:t>
            </w:r>
          </w:p>
          <w:p>
            <w:pPr>
              <w:snapToGrid w:val="0"/>
              <w:spacing w:line="360" w:lineRule="auto"/>
              <w:ind w:firstLine="496" w:firstLineChars="200"/>
              <w:jc w:val="both"/>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本工程砂石料全部采用外购成品，项目区内不设置砂石料取料场、加工场，无砂石料清洗、加工废水产生，混凝土搅拌运输车卸料完成后，对转筒、料罐进行冲洗时产生少量间断性废水，主要污染物为SS，浓度约3000mg/L，无有毒有害污染物，</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类比同类型项目</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，工程施工机械清洗废水产生量约</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1.5</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m</w:t>
            </w:r>
            <w:r>
              <w:rPr>
                <w:rFonts w:hint="eastAsia" w:ascii="仿宋" w:hAnsi="仿宋" w:eastAsia="仿宋" w:cs="仿宋"/>
                <w:color w:val="000000" w:themeColor="text1"/>
                <w:spacing w:val="4"/>
                <w:kern w:val="24"/>
                <w:sz w:val="24"/>
                <w:szCs w:val="24"/>
                <w:highlight w:val="none"/>
                <w:vertAlign w:val="superscript"/>
                <w:lang w:val="zh-CN" w:eastAsia="zh-CN" w:bidi="ar-SA"/>
                <w14:textFill>
                  <w14:solidFill>
                    <w14:schemeClr w14:val="tx1"/>
                  </w14:solidFill>
                </w14:textFill>
              </w:rPr>
              <w:t>3</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/d，</w:t>
            </w:r>
            <w:bookmarkStart w:id="23" w:name="OLE_LINK96"/>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施工期</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4</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个月，按</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120</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天计，施工期产生施工机械清洗废水</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180</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m</w:t>
            </w:r>
            <w:r>
              <w:rPr>
                <w:rFonts w:hint="eastAsia" w:ascii="仿宋" w:hAnsi="仿宋" w:eastAsia="仿宋" w:cs="仿宋"/>
                <w:color w:val="000000" w:themeColor="text1"/>
                <w:spacing w:val="4"/>
                <w:kern w:val="24"/>
                <w:sz w:val="24"/>
                <w:szCs w:val="24"/>
                <w:highlight w:val="none"/>
                <w:vertAlign w:val="superscript"/>
                <w:lang w:val="zh-CN" w:eastAsia="zh-CN" w:bidi="ar-SA"/>
                <w14:textFill>
                  <w14:solidFill>
                    <w14:schemeClr w14:val="tx1"/>
                  </w14:solidFill>
                </w14:textFill>
              </w:rPr>
              <w:t>3</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w:t>
            </w:r>
            <w:bookmarkEnd w:id="23"/>
          </w:p>
          <w:p>
            <w:pPr>
              <w:snapToGrid w:val="0"/>
              <w:spacing w:line="360" w:lineRule="auto"/>
              <w:ind w:firstLine="496" w:firstLineChars="200"/>
              <w:jc w:val="both"/>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施工机械清洗废水经收集沉淀处理后，全部回用于场内道路洒水降尘、场地抑尘，不会对周边水体造成影响。</w:t>
            </w:r>
          </w:p>
          <w:p>
            <w:pPr>
              <w:snapToGrid w:val="0"/>
              <w:spacing w:line="360" w:lineRule="auto"/>
              <w:ind w:firstLine="498" w:firstLineChars="200"/>
              <w:jc w:val="both"/>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pPr>
            <w:r>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t>（2）混凝土</w:t>
            </w:r>
            <w:r>
              <w:rPr>
                <w:rFonts w:hint="eastAsia"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t>拌合和</w:t>
            </w:r>
            <w:r>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t>养护废水</w:t>
            </w:r>
          </w:p>
          <w:p>
            <w:pPr>
              <w:snapToGrid w:val="0"/>
              <w:spacing w:line="360" w:lineRule="auto"/>
              <w:ind w:firstLine="496" w:firstLineChars="200"/>
              <w:jc w:val="both"/>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混凝土养护主要集中在浇筑完成后7d~14d，废水产生时段集中、水量小且分散，无集中排放口，主要污染物为SS（浓度200mg/L～2000mg/L）及弱碱性物质（pH值9～12），不含其他有毒有害物质。养护废水多采用喷洒方式作业，喷洒后大部分被混凝土结构吸收，剩余部分自然蒸发，无废水外排至周边地表水体，不会对水环境造成影响。</w:t>
            </w:r>
          </w:p>
          <w:p>
            <w:pPr>
              <w:snapToGrid w:val="0"/>
              <w:spacing w:line="360" w:lineRule="auto"/>
              <w:ind w:firstLine="498" w:firstLineChars="200"/>
              <w:jc w:val="both"/>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pPr>
            <w:r>
              <w:rPr>
                <w:rFonts w:hint="eastAsia"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t>（3）</w:t>
            </w:r>
            <w:r>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t>地表径流</w:t>
            </w:r>
          </w:p>
          <w:p>
            <w:pPr>
              <w:snapToGrid w:val="0"/>
              <w:spacing w:line="360" w:lineRule="auto"/>
              <w:ind w:firstLine="496" w:firstLineChars="200"/>
              <w:jc w:val="both"/>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项目工程施工要求避开雨季，但施工过程中不可避免地会遇到雨水天气，尤其是项目部分</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风机</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场区处于山体斜坡地带，施工期降雨后径流冲刷浮土、建筑砂石等，产生携带大量泥沙、水泥、油类及其它地表固体污染物的泥浆水，如流入地表水体，将产生一定的面源污染。</w:t>
            </w:r>
          </w:p>
          <w:p>
            <w:pPr>
              <w:snapToGrid w:val="0"/>
              <w:spacing w:line="360" w:lineRule="auto"/>
              <w:ind w:firstLine="496" w:firstLineChars="200"/>
              <w:jc w:val="both"/>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pPr>
            <w:bookmarkStart w:id="24" w:name="OLE_LINK153"/>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工程应严格落实水土保持措施，按水土保持方案提出的要求，选择好堆土场，并建设拦挡、覆盖等水土防护措施，在开关站周边和场内建设排水沟、沉砂池，施工过程中区域冲刷产生的初期雨水经排水沟引入沉砂池沉淀处理后，可回用于施工过程及场地洒水降尘，回用不完的部分再</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用于周边植被浇灌</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，有效拦截雨水对施工面冲刷，减缓水土流失。</w:t>
            </w:r>
          </w:p>
          <w:p>
            <w:pPr>
              <w:snapToGrid w:val="0"/>
              <w:spacing w:line="360" w:lineRule="auto"/>
              <w:ind w:firstLine="496" w:firstLineChars="200"/>
              <w:jc w:val="both"/>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pP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此外，工程施工还应加强管理，做好施工机械的日常维修，杜绝跑、冒、滴、漏现象，尽量减小施工期降雨冲刷产生的影响。</w:t>
            </w:r>
          </w:p>
          <w:bookmarkEnd w:id="24"/>
          <w:p>
            <w:pPr>
              <w:snapToGrid w:val="0"/>
              <w:spacing w:line="360" w:lineRule="auto"/>
              <w:ind w:firstLine="498" w:firstLineChars="200"/>
              <w:jc w:val="both"/>
              <w:rPr>
                <w:rFonts w:hint="eastAsia"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t>（4）</w:t>
            </w:r>
            <w:r>
              <w:rPr>
                <w:rFonts w:hint="eastAsia" w:ascii="仿宋" w:hAnsi="仿宋" w:eastAsia="仿宋" w:cs="仿宋"/>
                <w:b/>
                <w:bCs/>
                <w:color w:val="000000" w:themeColor="text1"/>
                <w:spacing w:val="4"/>
                <w:kern w:val="24"/>
                <w:sz w:val="24"/>
                <w:szCs w:val="24"/>
                <w:highlight w:val="none"/>
                <w:lang w:val="zh-CN" w:eastAsia="zh-CN" w:bidi="ar-SA"/>
                <w14:textFill>
                  <w14:solidFill>
                    <w14:schemeClr w14:val="tx1"/>
                  </w14:solidFill>
                </w14:textFill>
              </w:rPr>
              <w:t>生活污水</w:t>
            </w:r>
          </w:p>
          <w:p>
            <w:pPr>
              <w:snapToGrid w:val="0"/>
              <w:spacing w:line="360" w:lineRule="auto"/>
              <w:ind w:firstLine="496"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根据建设单位提供资料，本工程</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施工</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工期</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4</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个月，施工高峰期人数</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120</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人</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，因施工</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工期较短，</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且场址距离周边村镇较近，</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本工程施工</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人员</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主要为周边村民，依托周边村民民房</w:t>
            </w:r>
            <w:r>
              <w:rPr>
                <w:rFonts w:hint="eastAsia" w:ascii="仿宋" w:hAnsi="仿宋" w:eastAsia="仿宋" w:cs="仿宋"/>
                <w:color w:val="000000" w:themeColor="text1"/>
                <w:sz w:val="24"/>
                <w:szCs w:val="24"/>
                <w:highlight w:val="none"/>
                <w14:textFill>
                  <w14:solidFill>
                    <w14:schemeClr w14:val="tx1"/>
                  </w14:solidFill>
                </w14:textFill>
              </w:rPr>
              <w:t>分散居住，其产生的生活污水</w:t>
            </w:r>
            <w:r>
              <w:rPr>
                <w:rFonts w:hint="eastAsia" w:ascii="仿宋" w:hAnsi="仿宋" w:eastAsia="仿宋" w:cs="仿宋"/>
                <w:color w:val="000000" w:themeColor="text1"/>
                <w:sz w:val="24"/>
                <w:szCs w:val="24"/>
                <w:highlight w:val="none"/>
                <w:lang w:val="en-US" w:eastAsia="zh-CN"/>
                <w14:textFill>
                  <w14:solidFill>
                    <w14:schemeClr w14:val="tx1"/>
                  </w14:solidFill>
                </w14:textFill>
              </w:rPr>
              <w:t>大部分</w:t>
            </w:r>
            <w:r>
              <w:rPr>
                <w:rFonts w:hint="eastAsia" w:ascii="仿宋" w:hAnsi="仿宋" w:eastAsia="仿宋" w:cs="仿宋"/>
                <w:color w:val="000000" w:themeColor="text1"/>
                <w:sz w:val="24"/>
                <w:szCs w:val="24"/>
                <w:highlight w:val="none"/>
                <w14:textFill>
                  <w14:solidFill>
                    <w14:schemeClr w14:val="tx1"/>
                  </w14:solidFill>
                </w14:textFill>
              </w:rPr>
              <w:t>纳入民房现有民用污水处理设施处置，不排入项目区周边地表水体</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p>
            <w:pPr>
              <w:snapToGrid w:val="0"/>
              <w:spacing w:line="360" w:lineRule="auto"/>
              <w:ind w:firstLine="480"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本次施工期污染源强核算，项目施工人员以120人计，施工现场生活用水</w:t>
            </w:r>
            <w:r>
              <w:rPr>
                <w:rFonts w:hint="eastAsia" w:ascii="仿宋" w:hAnsi="仿宋" w:eastAsia="仿宋" w:cs="仿宋"/>
                <w:color w:val="000000" w:themeColor="text1"/>
                <w:sz w:val="24"/>
                <w:szCs w:val="24"/>
                <w:highlight w:val="none"/>
                <w14:textFill>
                  <w14:solidFill>
                    <w14:schemeClr w14:val="tx1"/>
                  </w14:solidFill>
                </w14:textFill>
              </w:rPr>
              <w:t>根据《云南省地方标准用水定额》（DB53/T168-2019），农村居民生活用水定额（亚热带区，分散供水）为40~55(L/d人)；施工人员日常生活用水按</w:t>
            </w:r>
            <w:r>
              <w:rPr>
                <w:rFonts w:hint="eastAsia" w:ascii="仿宋" w:hAnsi="仿宋" w:eastAsia="仿宋" w:cs="仿宋"/>
                <w:color w:val="000000" w:themeColor="text1"/>
                <w:sz w:val="24"/>
                <w:szCs w:val="24"/>
                <w:highlight w:val="none"/>
                <w:lang w:val="en-US" w:eastAsia="zh-CN"/>
                <w14:textFill>
                  <w14:solidFill>
                    <w14:schemeClr w14:val="tx1"/>
                  </w14:solidFill>
                </w14:textFill>
              </w:rPr>
              <w:t>55</w:t>
            </w:r>
            <w:r>
              <w:rPr>
                <w:rFonts w:hint="eastAsia" w:ascii="仿宋" w:hAnsi="仿宋" w:eastAsia="仿宋" w:cs="仿宋"/>
                <w:color w:val="000000" w:themeColor="text1"/>
                <w:sz w:val="24"/>
                <w:szCs w:val="24"/>
                <w:highlight w:val="none"/>
                <w14:textFill>
                  <w14:solidFill>
                    <w14:schemeClr w14:val="tx1"/>
                  </w14:solidFill>
                </w14:textFill>
              </w:rPr>
              <w:t>(L/d人)计，废水产生系数取0.8，则</w:t>
            </w:r>
            <w:r>
              <w:rPr>
                <w:rFonts w:hint="eastAsia" w:ascii="仿宋" w:hAnsi="仿宋" w:eastAsia="仿宋" w:cs="仿宋"/>
                <w:color w:val="000000" w:themeColor="text1"/>
                <w:sz w:val="24"/>
                <w:szCs w:val="24"/>
                <w:highlight w:val="none"/>
                <w:lang w:val="en-US" w:eastAsia="zh-CN"/>
                <w14:textFill>
                  <w14:solidFill>
                    <w14:schemeClr w14:val="tx1"/>
                  </w14:solidFill>
                </w14:textFill>
              </w:rPr>
              <w:t>施工期生活污水产生</w:t>
            </w:r>
            <w:r>
              <w:rPr>
                <w:rFonts w:hint="eastAsia" w:ascii="仿宋" w:hAnsi="仿宋" w:eastAsia="仿宋" w:cs="仿宋"/>
                <w:color w:val="000000" w:themeColor="text1"/>
                <w:sz w:val="24"/>
                <w:szCs w:val="24"/>
                <w:highlight w:val="none"/>
                <w14:textFill>
                  <w14:solidFill>
                    <w14:schemeClr w14:val="tx1"/>
                  </w14:solidFill>
                </w14:textFill>
              </w:rPr>
              <w:t>量为</w:t>
            </w:r>
            <w:r>
              <w:rPr>
                <w:rFonts w:hint="eastAsia" w:ascii="仿宋" w:hAnsi="仿宋" w:eastAsia="仿宋" w:cs="仿宋"/>
                <w:color w:val="000000" w:themeColor="text1"/>
                <w:sz w:val="24"/>
                <w:szCs w:val="24"/>
                <w:highlight w:val="none"/>
                <w:lang w:val="en-US" w:eastAsia="zh-CN"/>
                <w14:textFill>
                  <w14:solidFill>
                    <w14:schemeClr w14:val="tx1"/>
                  </w14:solidFill>
                </w14:textFill>
              </w:rPr>
              <w:t>5.28</w:t>
            </w:r>
            <w:r>
              <w:rPr>
                <w:rFonts w:hint="eastAsia" w:ascii="仿宋" w:hAnsi="仿宋" w:eastAsia="仿宋" w:cs="仿宋"/>
                <w:color w:val="000000" w:themeColor="text1"/>
                <w:sz w:val="24"/>
                <w:szCs w:val="24"/>
                <w:highlight w:val="none"/>
                <w14:textFill>
                  <w14:solidFill>
                    <w14:schemeClr w14:val="tx1"/>
                  </w14:solidFill>
                </w14:textFill>
              </w:rPr>
              <w:t>m</w:t>
            </w:r>
            <w:r>
              <w:rPr>
                <w:rFonts w:hint="eastAsia" w:ascii="仿宋" w:hAnsi="仿宋" w:eastAsia="仿宋" w:cs="仿宋"/>
                <w:color w:val="000000" w:themeColor="text1"/>
                <w:sz w:val="24"/>
                <w:szCs w:val="24"/>
                <w:highlight w:val="none"/>
                <w:vertAlign w:val="superscript"/>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/d</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施工现场设移动旱厕，粪便污水定期清运用于农田施肥；其余生活污水依托村庄现有污水处理设施处理，不外排至项目区地表水体。开关站同步建设化粪池，用于现场少量生活污水收集预处理。</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施工结束后将</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化粪池</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填埋，并进行植被恢复，不会对周边地表水体造成影响。</w:t>
            </w:r>
          </w:p>
          <w:p>
            <w:pPr>
              <w:snapToGrid w:val="0"/>
              <w:spacing w:line="360" w:lineRule="auto"/>
              <w:ind w:firstLine="498" w:firstLineChars="200"/>
              <w:jc w:val="both"/>
              <w:rPr>
                <w:rFonts w:hint="default"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t>（5）</w:t>
            </w:r>
            <w:r>
              <w:rPr>
                <w:rFonts w:hint="default"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t>施工期对周边</w:t>
            </w:r>
            <w:r>
              <w:rPr>
                <w:rFonts w:hint="eastAsia"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t>地表</w:t>
            </w:r>
            <w:r>
              <w:rPr>
                <w:rFonts w:hint="default" w:ascii="仿宋" w:hAnsi="仿宋" w:eastAsia="仿宋" w:cs="仿宋"/>
                <w:b/>
                <w:bCs/>
                <w:color w:val="000000" w:themeColor="text1"/>
                <w:spacing w:val="4"/>
                <w:kern w:val="24"/>
                <w:sz w:val="24"/>
                <w:szCs w:val="24"/>
                <w:highlight w:val="none"/>
                <w:lang w:val="en-US" w:eastAsia="zh-CN" w:bidi="ar-SA"/>
                <w14:textFill>
                  <w14:solidFill>
                    <w14:schemeClr w14:val="tx1"/>
                  </w14:solidFill>
                </w14:textFill>
              </w:rPr>
              <w:t>水体的影响</w:t>
            </w:r>
          </w:p>
          <w:p>
            <w:pPr>
              <w:snapToGrid w:val="0"/>
              <w:spacing w:line="360" w:lineRule="auto"/>
              <w:ind w:firstLine="496"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本项目</w:t>
            </w:r>
            <w:r>
              <w:rPr>
                <w:rFonts w:hint="default"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无涉水工程，不占用河湖岸线</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管理</w:t>
            </w:r>
            <w:r>
              <w:rPr>
                <w:rFonts w:hint="default" w:ascii="仿宋" w:hAnsi="仿宋" w:eastAsia="仿宋" w:cs="仿宋"/>
                <w:color w:val="000000" w:themeColor="text1"/>
                <w:spacing w:val="4"/>
                <w:kern w:val="24"/>
                <w:sz w:val="24"/>
                <w:szCs w:val="24"/>
                <w:highlight w:val="none"/>
                <w:lang w:val="zh-CN" w:eastAsia="zh-CN" w:bidi="ar-SA"/>
                <w14:textFill>
                  <w14:solidFill>
                    <w14:schemeClr w14:val="tx1"/>
                  </w14:solidFill>
                </w14:textFill>
              </w:rPr>
              <w:t>及保护范围，与周边河道无直接水力交集；架空集电线路</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跨越河道，但也无涉水塔基和</w:t>
            </w:r>
            <w:r>
              <w:rPr>
                <w:rFonts w:hint="default"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河道施工作业</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w:t>
            </w:r>
            <w:r>
              <w:rPr>
                <w:rFonts w:hint="eastAsia" w:ascii="仿宋" w:hAnsi="仿宋" w:eastAsia="仿宋" w:cs="仿宋"/>
                <w:color w:val="000000" w:themeColor="text1"/>
                <w:spacing w:val="4"/>
                <w:kern w:val="24"/>
                <w:sz w:val="24"/>
                <w:szCs w:val="24"/>
                <w:highlight w:val="none"/>
                <w:lang w:val="en-US" w:eastAsia="zh-CN" w:bidi="ar-SA"/>
                <w14:textFill>
                  <w14:solidFill>
                    <w14:schemeClr w14:val="tx1"/>
                  </w14:solidFill>
                </w14:textFill>
              </w:rPr>
              <w:t>且塔基多采用人工开挖，对区域地表水影响较小</w:t>
            </w:r>
            <w:r>
              <w:rPr>
                <w:rFonts w:hint="default" w:ascii="仿宋" w:hAnsi="仿宋" w:eastAsia="仿宋" w:cs="仿宋"/>
                <w:color w:val="000000" w:themeColor="text1"/>
                <w:spacing w:val="4"/>
                <w:kern w:val="24"/>
                <w:sz w:val="24"/>
                <w:szCs w:val="24"/>
                <w:highlight w:val="none"/>
                <w:lang w:val="zh-CN" w:eastAsia="zh-CN" w:bidi="ar-SA"/>
                <w14:textFill>
                  <w14:solidFill>
                    <w14:schemeClr w14:val="tx1"/>
                  </w14:solidFill>
                </w14:textFill>
              </w:rPr>
              <w:t>。</w:t>
            </w:r>
            <w:r>
              <w:rPr>
                <w:rFonts w:hint="eastAsia" w:ascii="仿宋" w:hAnsi="仿宋" w:eastAsia="仿宋" w:cs="仿宋"/>
                <w:color w:val="000000" w:themeColor="text1"/>
                <w:spacing w:val="4"/>
                <w:kern w:val="24"/>
                <w:sz w:val="24"/>
                <w:szCs w:val="24"/>
                <w:highlight w:val="none"/>
                <w:lang w:val="zh-CN" w:eastAsia="zh-CN" w:bidi="ar-SA"/>
                <w14:textFill>
                  <w14:solidFill>
                    <w14:schemeClr w14:val="tx1"/>
                  </w14:solidFill>
                </w14:textFill>
              </w:rPr>
              <w:t>本工程施工期各类生产废水、生活污水均经合规处置，无废水外排，不会对周边地表水体造成直接扰动及水质不利影响。</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3.2施工期大气环境影响分析</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本项目施工期大气污染物主要为施工扬尘、道路扬尘、施工机械燃油废气。</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扬尘来源：土石方开挖、场地平整、渣场堆存、建材装卸、车辆运输；</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废气来源：挖掘机、装载机、柴油发电机、运输车辆等燃油尾气，主要污染物为 CO、NOx、SO₂、烃类。</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项目区风速较大、扩散条件好，但大风天气扬尘影响增强；夏季多雨、地表湿润，扬尘量显著降低，对区域空气环境质量的影响也相对较小。</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（1）施工扬尘</w:t>
            </w:r>
          </w:p>
          <w:p>
            <w:pPr>
              <w:snapToGrid w:val="0"/>
              <w:spacing w:line="360" w:lineRule="auto"/>
              <w:ind w:firstLine="480" w:firstLineChars="20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本项目施工期</w:t>
            </w:r>
            <w:r>
              <w:rPr>
                <w:rFonts w:hint="default" w:ascii="仿宋" w:hAnsi="仿宋" w:eastAsia="仿宋" w:cs="仿宋"/>
                <w:color w:val="000000" w:themeColor="text1"/>
                <w:sz w:val="24"/>
                <w:szCs w:val="24"/>
                <w:highlight w:val="none"/>
                <w:lang w:val="en-US" w:eastAsia="zh-CN"/>
                <w14:textFill>
                  <w14:solidFill>
                    <w14:schemeClr w14:val="tx1"/>
                  </w14:solidFill>
                </w14:textFill>
              </w:rPr>
              <w:t>大气污染源</w:t>
            </w:r>
            <w:r>
              <w:rPr>
                <w:rFonts w:hint="eastAsia" w:ascii="仿宋" w:hAnsi="仿宋" w:eastAsia="仿宋" w:cs="仿宋"/>
                <w:color w:val="000000" w:themeColor="text1"/>
                <w:sz w:val="24"/>
                <w:szCs w:val="24"/>
                <w:highlight w:val="none"/>
                <w:lang w:val="en-US" w:eastAsia="zh-CN"/>
                <w14:textFill>
                  <w14:solidFill>
                    <w14:schemeClr w14:val="tx1"/>
                  </w14:solidFill>
                </w14:textFill>
              </w:rPr>
              <w:t>来自土石方开挖、表土剥离临时堆放、物料及弃渣运输、场地平整等施工环节</w:t>
            </w:r>
            <w:r>
              <w:rPr>
                <w:rFonts w:hint="default" w:ascii="仿宋" w:hAnsi="仿宋" w:eastAsia="仿宋" w:cs="仿宋"/>
                <w:color w:val="000000" w:themeColor="text1"/>
                <w:sz w:val="24"/>
                <w:szCs w:val="24"/>
                <w:highlight w:val="none"/>
                <w:lang w:val="en-US" w:eastAsia="zh-CN"/>
                <w14:textFill>
                  <w14:solidFill>
                    <w14:schemeClr w14:val="tx1"/>
                  </w14:solidFill>
                </w14:textFill>
              </w:rPr>
              <w:t>，属间歇性、流动性污染。施工扬尘产生量主要取决于风速、开挖量、运输频次及地表干湿状况。电场区域风速较大，有利于粉尘和大气污染物的扩散，但是多风气象也增加了场地尘土飞扬频次。若在春季施工，风速较大，地表干燥，扬尘量必然很大，将对风电场周围特别是下风向的区域环境空气产生污染，受风蚀作用影响，将造成土壤侵蚀。而夏季施工，因风速较小，加之此季降水较多，地表较潮湿，不易产生扬尘，对区域空气环境质量的影响也相对较小。</w:t>
            </w:r>
          </w:p>
          <w:p>
            <w:pPr>
              <w:snapToGrid w:val="0"/>
              <w:spacing w:line="360" w:lineRule="auto"/>
              <w:ind w:firstLine="480" w:firstLineChars="20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根据类似的施工现场汽车运输引起的扬尘监测结果，运输车辆下风向50m处TSP浓度为11.625mg/m</w:t>
            </w:r>
            <w:r>
              <w:rPr>
                <w:rFonts w:hint="default"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default" w:ascii="仿宋" w:hAnsi="仿宋" w:eastAsia="仿宋" w:cs="仿宋"/>
                <w:color w:val="000000" w:themeColor="text1"/>
                <w:sz w:val="24"/>
                <w:szCs w:val="24"/>
                <w:highlight w:val="none"/>
                <w:lang w:val="en-US" w:eastAsia="zh-CN"/>
                <w14:textFill>
                  <w14:solidFill>
                    <w14:schemeClr w14:val="tx1"/>
                  </w14:solidFill>
                </w14:textFill>
              </w:rPr>
              <w:t>；下风向100m处TSP浓度为9.694mg/m</w:t>
            </w:r>
            <w:r>
              <w:rPr>
                <w:rFonts w:hint="default"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default" w:ascii="仿宋" w:hAnsi="仿宋" w:eastAsia="仿宋" w:cs="仿宋"/>
                <w:color w:val="000000" w:themeColor="text1"/>
                <w:sz w:val="24"/>
                <w:szCs w:val="24"/>
                <w:highlight w:val="none"/>
                <w:lang w:val="en-US" w:eastAsia="zh-CN"/>
                <w14:textFill>
                  <w14:solidFill>
                    <w14:schemeClr w14:val="tx1"/>
                  </w14:solidFill>
                </w14:textFill>
              </w:rPr>
              <w:t>；下风向150m处TSP浓度为5.093mg/m</w:t>
            </w:r>
            <w:r>
              <w:rPr>
                <w:rFonts w:hint="default"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default" w:ascii="仿宋" w:hAnsi="仿宋" w:eastAsia="仿宋" w:cs="仿宋"/>
                <w:color w:val="000000" w:themeColor="text1"/>
                <w:sz w:val="24"/>
                <w:szCs w:val="24"/>
                <w:highlight w:val="none"/>
                <w:lang w:val="en-US" w:eastAsia="zh-CN"/>
                <w14:textFill>
                  <w14:solidFill>
                    <w14:schemeClr w14:val="tx1"/>
                  </w14:solidFill>
                </w14:textFill>
              </w:rPr>
              <w:t>，超过环境空气质量二级标准日均值。土石方开挖过程中产生的粉尘也将对环境空气产生影响。根据经验数据和类比资料，土石方开挖起尘量约为总采量的0.002%；施工机械排放的废气中主要污染物为NO2、CO等。混凝土搅拌场在作业期间会产生无组织粉尘排放</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default" w:ascii="仿宋" w:hAnsi="仿宋" w:eastAsia="仿宋" w:cs="仿宋"/>
                <w:color w:val="000000" w:themeColor="text1"/>
                <w:sz w:val="24"/>
                <w:szCs w:val="24"/>
                <w:highlight w:val="none"/>
                <w:lang w:val="en-US" w:eastAsia="zh-CN"/>
                <w14:textFill>
                  <w14:solidFill>
                    <w14:schemeClr w14:val="tx1"/>
                  </w14:solidFill>
                </w14:textFill>
              </w:rPr>
              <w:t>因此，减少建筑材料的露天堆放是抑制这类扬尘的一种很有效的手段。</w:t>
            </w:r>
          </w:p>
          <w:p>
            <w:pPr>
              <w:snapToGrid w:val="0"/>
              <w:spacing w:line="360" w:lineRule="auto"/>
              <w:ind w:firstLine="480" w:firstLineChars="20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风电场施工区与周边居民点距离较远，且存在一定地形高差，周边原生植被可对扬尘起到有效的阻隔与吸附作用；通过采取施工区域洒水降尘、临时堆场篷布全覆盖、粉质物料密闭运输、场内道路定期清扫保洁、优化施工时序避开大风天气集中开挖等管控措施后，施工扬尘可得到有效抑制，影响范围与程度大幅降低。施工期扬尘影响为暂时性影响，随着施工结束、水土保持及生态恢复工程的实施，扬尘影响将逐步减轻直至完全消失，不会对区域环境空气质量产生长期不利影响，影响程度可接受。</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（2）机械燃油废气</w:t>
            </w:r>
          </w:p>
          <w:p>
            <w:pPr>
              <w:snapToGrid w:val="0"/>
              <w:spacing w:line="360" w:lineRule="auto"/>
              <w:ind w:firstLine="480" w:firstLineChars="20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施工中运输车辆及施工机械运行产生的废气均是动力燃料柴油和汽油燃烧后所产生，主要成分是烃类、CO和NOX，属间歇性无组织排放。本项目主要通过采用符合环保规范的车辆及器械，从源头上控制尾气的产生量。由于施工期不长，作业范围相对较小，排气量均不是很大，尾气排放点随设备移动呈不固定方式排放，在空气环境中经一定的距离自然扩散、稀释后，不会对当地环境空气质量造成较大影响。</w:t>
            </w:r>
          </w:p>
          <w:p>
            <w:pPr>
              <w:snapToGrid w:val="0"/>
              <w:spacing w:line="360" w:lineRule="auto"/>
              <w:ind w:firstLine="480" w:firstLineChars="200"/>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总体而言，施工期间大气环境的影响是暂时的，随着施工结束以及水土保持和生态恢复工程的实施，这些影响也将消失。</w:t>
            </w:r>
            <w:r>
              <w:rPr>
                <w:rFonts w:hint="eastAsia" w:ascii="仿宋" w:hAnsi="仿宋" w:eastAsia="仿宋" w:cs="仿宋"/>
                <w:color w:val="000000" w:themeColor="text1"/>
                <w:sz w:val="24"/>
                <w:szCs w:val="24"/>
                <w:highlight w:val="none"/>
                <w:lang w:val="en-US" w:eastAsia="zh-CN"/>
                <w14:textFill>
                  <w14:solidFill>
                    <w14:schemeClr w14:val="tx1"/>
                  </w14:solidFill>
                </w14:textFill>
              </w:rPr>
              <w:t>采取</w:t>
            </w:r>
            <w:r>
              <w:rPr>
                <w:rFonts w:hint="default" w:ascii="仿宋" w:hAnsi="仿宋" w:eastAsia="仿宋" w:cs="仿宋"/>
                <w:color w:val="000000" w:themeColor="text1"/>
                <w:sz w:val="24"/>
                <w:szCs w:val="24"/>
                <w:highlight w:val="none"/>
                <w:lang w:val="en-US" w:eastAsia="zh-CN"/>
                <w14:textFill>
                  <w14:solidFill>
                    <w14:schemeClr w14:val="tx1"/>
                  </w14:solidFill>
                </w14:textFill>
              </w:rPr>
              <w:t>严格的施工管理、做好临时堆场覆盖、粉质材料封闭运输、定期洒水降尘等措施，不会对周围环境产生较大的影响。</w:t>
            </w:r>
          </w:p>
          <w:p>
            <w:pPr>
              <w:snapToGrid w:val="0"/>
              <w:spacing w:line="360" w:lineRule="auto"/>
              <w:ind w:firstLine="482" w:firstLineChars="200"/>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（3）施工扬尘对敏感点的影响分析</w:t>
            </w:r>
          </w:p>
          <w:p>
            <w:pPr>
              <w:snapToGrid w:val="0"/>
              <w:spacing w:line="360" w:lineRule="auto"/>
              <w:ind w:firstLine="480"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现场踏勘，项目开关站及风机基础等施工距离敏感点较远，且因地形山势阻隔，对敏感点影响较小。此外，项目工程施工物流运输途经多个居民点，项目运输扬尘对居民点有一定影响，为减轻对居民点的影响，本次环评要求项目施工严格按照《中华人民共和国大气污染防治法》、《云南省大气污染防治条例》等有关规定，采取环评提出的扬尘污染防治措施后，施工期扬尘排放将极大程度上减小。因此，项目施工期产生的扬尘对环境保护目标及环境空气的影响是短期的，并将随施工期的结束而结束。</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3.3施工期声环境影响分析</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（1）施工设备噪声影响</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施工噪声主要来自：场地平整、基础开挖、开关站土建、电缆沟开挖、吊装作业等施工机械噪声，以及运输车辆交通噪声等。</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本工程施工设备包括：挖掘机、装载机、推土机、自卸汽车、压路机、吊车、手风钻、空压机、振动打夯机、电焊机等。参考《低噪声施工设备指导名录（2024年版）》。各机械设备噪声源声级详见下表。</w:t>
            </w:r>
          </w:p>
          <w:p>
            <w:pPr>
              <w:keepNext/>
              <w:keepLines/>
              <w:widowControl w:val="0"/>
              <w:numPr>
                <w:ilvl w:val="0"/>
                <w:numId w:val="0"/>
              </w:numPr>
              <w:snapToGrid w:val="0"/>
              <w:spacing w:beforeLines="0" w:beforeAutospacing="0" w:afterLines="0" w:afterAutospacing="0" w:line="360" w:lineRule="auto"/>
              <w:ind w:firstLine="0" w:firstLineChars="0"/>
              <w:jc w:val="center"/>
              <w:outlineLvl w:val="2"/>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
                <w14:textFill>
                  <w14:solidFill>
                    <w14:schemeClr w14:val="tx1"/>
                  </w14:solidFill>
                </w14:textFill>
              </w:rPr>
              <w:t>表4-3  主要施工设备噪声源强</w:t>
            </w:r>
          </w:p>
          <w:tbl>
            <w:tblPr>
              <w:tblStyle w:val="2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3142"/>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主要噪声源</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参数型号</w:t>
                  </w:r>
                </w:p>
              </w:tc>
              <w:tc>
                <w:tcPr>
                  <w:tcW w:w="1573" w:type="pct"/>
                  <w:shd w:val="clear" w:color="auto" w:fill="auto"/>
                  <w:vAlign w:val="center"/>
                </w:tcPr>
                <w:p>
                  <w:pPr>
                    <w:snapToGrid w:val="0"/>
                    <w:spacing w:line="240" w:lineRule="auto"/>
                    <w:jc w:val="center"/>
                    <w:rPr>
                      <w:rFonts w:hint="eastAsia" w:ascii="仿宋" w:hAnsi="仿宋" w:eastAsia="仿宋" w:cs="仿宋"/>
                      <w:b w:val="0"/>
                      <w:b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bookmarkStart w:id="25" w:name="OLE_LINK7" w:colFirst="0" w:colLast="0"/>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挖掘机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小松PC300-5（斗容1.5m³）</w:t>
                  </w:r>
                </w:p>
              </w:tc>
              <w:tc>
                <w:tcPr>
                  <w:tcW w:w="1573" w:type="pct"/>
                  <w:shd w:val="clear" w:color="auto" w:fill="auto"/>
                  <w:vAlign w:val="center"/>
                </w:tcPr>
                <w:p>
                  <w:pPr>
                    <w:snapToGrid w:val="0"/>
                    <w:spacing w:line="240" w:lineRule="auto"/>
                    <w:jc w:val="center"/>
                    <w:rPr>
                      <w:rFonts w:hint="eastAsia" w:ascii="仿宋" w:hAnsi="仿宋" w:eastAsia="仿宋" w:cs="仿宋"/>
                      <w:b w:val="0"/>
                      <w:b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vertAlign w:val="baseline"/>
                      <w:lang w:val="en-US" w:eastAsia="zh-CN" w:bidi="ar-SA"/>
                      <w14:textFill>
                        <w14:solidFill>
                          <w14:schemeClr w14:val="tx1"/>
                        </w14:solidFill>
                      </w14:textFill>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装载机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国产ZL-50（斗容3m³）</w:t>
                  </w:r>
                </w:p>
              </w:tc>
              <w:tc>
                <w:tcPr>
                  <w:tcW w:w="1573" w:type="pct"/>
                  <w:shd w:val="clear" w:color="auto" w:fill="auto"/>
                  <w:vAlign w:val="center"/>
                </w:tcPr>
                <w:p>
                  <w:pPr>
                    <w:snapToGrid w:val="0"/>
                    <w:spacing w:line="240" w:lineRule="auto"/>
                    <w:jc w:val="center"/>
                    <w:rPr>
                      <w:rFonts w:hint="eastAsia" w:ascii="仿宋" w:hAnsi="仿宋" w:eastAsia="仿宋" w:cs="仿宋"/>
                      <w:b w:val="0"/>
                      <w:b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vertAlign w:val="baseline"/>
                      <w:lang w:val="en-US" w:eastAsia="zh-CN" w:bidi="ar-SA"/>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推土机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国产TY200</w:t>
                  </w:r>
                </w:p>
              </w:tc>
              <w:tc>
                <w:tcPr>
                  <w:tcW w:w="1573" w:type="pct"/>
                  <w:shd w:val="clear" w:color="auto" w:fill="auto"/>
                  <w:vAlign w:val="center"/>
                </w:tcPr>
                <w:p>
                  <w:pPr>
                    <w:snapToGrid w:val="0"/>
                    <w:spacing w:line="240" w:lineRule="auto"/>
                    <w:jc w:val="center"/>
                    <w:rPr>
                      <w:rFonts w:hint="eastAsia" w:ascii="仿宋" w:hAnsi="仿宋" w:eastAsia="仿宋" w:cs="仿宋"/>
                      <w:b w:val="0"/>
                      <w:b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4"/>
                      <w:szCs w:val="24"/>
                      <w:highlight w:val="none"/>
                      <w:vertAlign w:val="baseline"/>
                      <w:lang w:val="en-US" w:eastAsia="zh-CN" w:bidi="ar-SA"/>
                      <w14:textFill>
                        <w14:solidFill>
                          <w14:schemeClr w14:val="tx1"/>
                        </w14:solidFill>
                      </w14:textFill>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自卸式运输车</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国产CQ30290（载重量17T）</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运水车</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东风1208（容积20m³）</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压路机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国产 YZF14 震动型</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砂浆搅拌机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容量350L</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混凝土搅拌运输车</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MR-60S</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手风钻</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Φ50</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空压机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10m³/0.8Mpa</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振动打夯机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HZR400</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吊车</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pacing w:val="0"/>
                      <w:sz w:val="24"/>
                      <w:szCs w:val="24"/>
                      <w:highlight w:val="none"/>
                      <w14:textFill>
                        <w14:solidFill>
                          <w14:schemeClr w14:val="tx1"/>
                        </w14:solidFill>
                      </w14:textFill>
                    </w:rPr>
                    <w:t>ZDK1600</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5"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手工电弧焊机</w:t>
                  </w:r>
                </w:p>
              </w:tc>
              <w:tc>
                <w:tcPr>
                  <w:tcW w:w="2011"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ZX7-315</w:t>
                  </w:r>
                </w:p>
              </w:tc>
              <w:tc>
                <w:tcPr>
                  <w:tcW w:w="1573" w:type="pct"/>
                  <w:vAlign w:val="center"/>
                </w:tcPr>
                <w:p>
                  <w:pPr>
                    <w:snapToGrid w:val="0"/>
                    <w:spacing w:line="240" w:lineRule="auto"/>
                    <w:jc w:val="cente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vertAlign w:val="baseline"/>
                      <w:lang w:val="en-US" w:eastAsia="zh-CN"/>
                      <w14:textFill>
                        <w14:solidFill>
                          <w14:schemeClr w14:val="tx1"/>
                        </w14:solidFill>
                      </w14:textFill>
                    </w:rPr>
                    <w:t>92</w:t>
                  </w:r>
                </w:p>
              </w:tc>
            </w:tr>
            <w:bookmarkEnd w:id="25"/>
          </w:tbl>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bookmarkStart w:id="26" w:name="OLE_LINK107"/>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预测模式：</w:t>
            </w:r>
          </w:p>
          <w:bookmarkEnd w:id="26"/>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对于施工期间的噪声源的预测，通常将视为点源预测计算，根据点声源衰减模式，可估算施工机械在施工期间离噪声源不同距离处的噪声值，点声源预测模式为：</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Lp（r）=Lp（r0）-20lg（r/r0）</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式中：Lp（r）——预测点处声压级，dB；</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Lp（r0）——参考位置r0处的声压级，dB；</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r——预测点距声源的距离；</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r0——参考位置距声源的距离。</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（3）预测结果</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项目施工期主要的噪声源，各施工机械设备等效声级影响范围见表4-4。</w:t>
            </w:r>
          </w:p>
          <w:p>
            <w:pPr>
              <w:pStyle w:val="57"/>
              <w:bidi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表4-</w:t>
            </w: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 xml:space="preserve">  各声源在不同距离的噪声贡献值一览表  单位：dB（A）</w:t>
            </w:r>
          </w:p>
          <w:tbl>
            <w:tblPr>
              <w:tblStyle w:val="24"/>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652"/>
              <w:gridCol w:w="652"/>
              <w:gridCol w:w="652"/>
              <w:gridCol w:w="652"/>
              <w:gridCol w:w="652"/>
              <w:gridCol w:w="652"/>
              <w:gridCol w:w="653"/>
              <w:gridCol w:w="653"/>
              <w:gridCol w:w="653"/>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0" w:type="pct"/>
                  <w:tcBorders>
                    <w:tl2br w:val="single" w:color="auto" w:sz="4" w:space="0"/>
                  </w:tcBorders>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距离（m）</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设备</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30</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50</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100</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150</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200</w:t>
                  </w:r>
                </w:p>
              </w:tc>
              <w:tc>
                <w:tcPr>
                  <w:tcW w:w="41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250</w:t>
                  </w:r>
                </w:p>
              </w:tc>
              <w:tc>
                <w:tcPr>
                  <w:tcW w:w="42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挖掘机</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71</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65</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63</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61</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57</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51</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47</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45</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43</w:t>
                  </w:r>
                </w:p>
              </w:tc>
              <w:tc>
                <w:tcPr>
                  <w:tcW w:w="423"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装载机</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78</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72</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70</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68</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58</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52</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50</w:t>
                  </w:r>
                </w:p>
              </w:tc>
              <w:tc>
                <w:tcPr>
                  <w:tcW w:w="423"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推土机</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79</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73</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71</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69</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65</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59</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55</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53</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51</w:t>
                  </w:r>
                </w:p>
              </w:tc>
              <w:tc>
                <w:tcPr>
                  <w:tcW w:w="423"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bookmarkStart w:id="27" w:name="OLE_LINK8" w:colFirst="1" w:colLast="10"/>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自卸式运输车</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70</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62</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60</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56</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50</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46</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42</w:t>
                  </w:r>
                </w:p>
              </w:tc>
              <w:tc>
                <w:tcPr>
                  <w:tcW w:w="423"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40</w:t>
                  </w:r>
                </w:p>
              </w:tc>
            </w:tr>
            <w:bookmarkEnd w:id="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运水车</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64</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62</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56</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46</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44</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42</w:t>
                  </w:r>
                </w:p>
              </w:tc>
              <w:tc>
                <w:tcPr>
                  <w:tcW w:w="423"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压路机</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68</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66</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60</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50</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48</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46</w:t>
                  </w:r>
                </w:p>
              </w:tc>
              <w:tc>
                <w:tcPr>
                  <w:tcW w:w="423"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砂浆搅拌机</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64</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62</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56</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46</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44</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42</w:t>
                  </w:r>
                </w:p>
              </w:tc>
              <w:tc>
                <w:tcPr>
                  <w:tcW w:w="423"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混凝土搅拌运输车</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71</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65</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63</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61</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57</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51</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47</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45</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43</w:t>
                  </w:r>
                </w:p>
              </w:tc>
              <w:tc>
                <w:tcPr>
                  <w:tcW w:w="423"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手风钻</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71</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65</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63</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61</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57</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51</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47</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45</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43</w:t>
                  </w:r>
                </w:p>
              </w:tc>
              <w:tc>
                <w:tcPr>
                  <w:tcW w:w="423"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空压机</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83</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76</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75</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73</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69</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63</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59</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57</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55</w:t>
                  </w:r>
                </w:p>
              </w:tc>
              <w:tc>
                <w:tcPr>
                  <w:tcW w:w="423"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振动打夯机</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80</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74</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72</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70</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66</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60</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56</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54</w:t>
                  </w:r>
                </w:p>
              </w:tc>
              <w:tc>
                <w:tcPr>
                  <w:tcW w:w="418"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52</w:t>
                  </w:r>
                </w:p>
              </w:tc>
              <w:tc>
                <w:tcPr>
                  <w:tcW w:w="423" w:type="pct"/>
                  <w:noWrap w:val="0"/>
                  <w:vAlign w:val="center"/>
                </w:tcPr>
                <w:p>
                  <w:pPr>
                    <w:pStyle w:val="58"/>
                    <w:bidi w:val="0"/>
                    <w:ind w:firstLine="0" w:firstLineChars="0"/>
                    <w:rPr>
                      <w:rFonts w:hint="default"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bCs/>
                      <w:color w:val="000000" w:themeColor="text1"/>
                      <w:kern w:val="0"/>
                      <w:sz w:val="21"/>
                      <w:szCs w:val="21"/>
                      <w:lang w:val="en-US" w:eastAsia="zh-CN" w:bidi="ar-SA"/>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吊车</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64</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62</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56</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50</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46</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44</w:t>
                  </w:r>
                </w:p>
              </w:tc>
              <w:tc>
                <w:tcPr>
                  <w:tcW w:w="418"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42</w:t>
                  </w:r>
                </w:p>
              </w:tc>
              <w:tc>
                <w:tcPr>
                  <w:tcW w:w="423" w:type="pct"/>
                  <w:noWrap w:val="0"/>
                  <w:vAlign w:val="center"/>
                </w:tcPr>
                <w:p>
                  <w:pPr>
                    <w:pStyle w:val="58"/>
                    <w:bidi w:val="0"/>
                    <w:ind w:firstLine="0" w:firstLineChars="0"/>
                    <w:rPr>
                      <w:rFonts w:hint="eastAsia" w:ascii="仿宋" w:hAnsi="仿宋" w:eastAsia="仿宋" w:cs="仿宋"/>
                      <w:bCs/>
                      <w:color w:val="000000" w:themeColor="text1"/>
                      <w:kern w:val="0"/>
                      <w:sz w:val="21"/>
                      <w:szCs w:val="21"/>
                      <w:lang w:val="en-US" w:eastAsia="zh-CN" w:bidi="ar-SA"/>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10" w:type="pct"/>
                  <w:noWrap w:val="0"/>
                  <w:vAlign w:val="center"/>
                </w:tcPr>
                <w:p>
                  <w:pPr>
                    <w:snapToGrid w:val="0"/>
                    <w:spacing w:line="240" w:lineRule="auto"/>
                    <w:jc w:val="cente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highlight w:val="none"/>
                      <w:vertAlign w:val="baseline"/>
                      <w:lang w:val="en-US" w:eastAsia="zh-CN"/>
                      <w14:textFill>
                        <w14:solidFill>
                          <w14:schemeClr w14:val="tx1"/>
                        </w14:solidFill>
                      </w14:textFill>
                    </w:rPr>
                    <w:t>手工电弧焊机</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72</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66</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64</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62</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58</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52</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48</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46</w:t>
                  </w:r>
                </w:p>
              </w:tc>
              <w:tc>
                <w:tcPr>
                  <w:tcW w:w="418"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44</w:t>
                  </w:r>
                </w:p>
              </w:tc>
              <w:tc>
                <w:tcPr>
                  <w:tcW w:w="423"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42</w:t>
                  </w:r>
                </w:p>
              </w:tc>
            </w:tr>
          </w:tbl>
          <w:p>
            <w:pPr>
              <w:snapToGrid w:val="0"/>
              <w:spacing w:line="360" w:lineRule="auto"/>
              <w:ind w:firstLine="480"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根据上表分析，施工机械中噪声影响较大的设备是推土机、装载机、空压机、打夯机及手工钻等。单台设备施工时，距施工点30m外昼间可达《建筑施工场界环境噪声排放标准》</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（GB12523-2011）的噪声限值70dB（A）要求，本项目夜间不施工。</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（2）施工期噪声对敏感点的影响分析</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根据现场踏勘，项目周边无声环境敏感目标，本项目夜间不施工，从预测结果看，项目施工噪声昼间影响范围在距施工点周围200m内，因此项目施工期噪声对周边环境影响不大。</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（3）施工期交通运输噪声影响分析</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工程运输的主要为风机部件以及混凝土、钢筋和砂料等施工材料，运输车辆多为大、中型车，设备、材料运输车辆行驶过程中产生交通噪声，对道路沿线敏感点产生一定的影响。</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由于物料运输利用现有道路及新建场内道路，沿线分布不少村庄，有的居民点直接分布于道路两侧，机电设备、物料运输和废土石方运输过程中产生的噪声造成的影响是不可忽视的。由于本工程施工运输交通量不大，交通噪声影响是短暂、非连续的。施工单位施工时需优化运输时间，物料和设备运输安排在昼间运输，避免夜间运输；途经沿线居民点时注意控制车速、减速慢行，并禁止鸣笛，运输车辆优先选用新能源汽车等声源控制措施。由于运输噪声为短暂影响，施工结束后影响随即消除，在采取以上防治措施后，运输噪声对沿线敏感点的影响在可接受的范围内。</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3.4施工期固体废弃物环境影响分析</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（1）弃渣</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土石方开挖量、回填量均优先平衡利用，多余弃渣清运至规划弃渣场集中堆存。弃渣场选址避让生态保护红线、永久基本农田、公益林、天然林及水源保护区，配套挡渣墙、排水沟、沉淀池，满足堆存与防护要求。</w:t>
            </w:r>
          </w:p>
          <w:p>
            <w:pPr>
              <w:snapToGrid w:val="0"/>
              <w:spacing w:line="360" w:lineRule="auto"/>
              <w:ind w:firstLine="480"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default" w:ascii="仿宋" w:hAnsi="仿宋" w:eastAsia="仿宋" w:cs="仿宋"/>
                <w:color w:val="000000" w:themeColor="text1"/>
                <w:sz w:val="24"/>
                <w:szCs w:val="24"/>
                <w:highlight w:val="none"/>
                <w:lang w:val="en-US" w:eastAsia="zh-CN"/>
                <w14:textFill>
                  <w14:solidFill>
                    <w14:schemeClr w14:val="tx1"/>
                  </w14:solidFill>
                </w14:textFill>
              </w:rPr>
              <w:t>项目弃渣场弃渣的堆放将占用土地、破坏原地貌、破坏植被和地表组成物；弃渣属人工塑造的松散堆积体，若不采取适当的护坡、排水等防护措施，容易造成渣体冲刷、滑落和坍塌，引发新的水土流失；大量的堆渣体在景观上与周围的景观不协调。因此，各渣场须严格按照水保方案做好项目的水土保持工作，合理设置弃渣，严格遵循</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default" w:ascii="仿宋" w:hAnsi="仿宋" w:eastAsia="仿宋" w:cs="仿宋"/>
                <w:color w:val="000000" w:themeColor="text1"/>
                <w:sz w:val="24"/>
                <w:szCs w:val="24"/>
                <w:highlight w:val="none"/>
                <w:lang w:val="en-US" w:eastAsia="zh-CN"/>
                <w14:textFill>
                  <w14:solidFill>
                    <w14:schemeClr w14:val="tx1"/>
                  </w14:solidFill>
                </w14:textFill>
              </w:rPr>
              <w:t>先挡后弃</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default" w:ascii="仿宋" w:hAnsi="仿宋" w:eastAsia="仿宋" w:cs="仿宋"/>
                <w:color w:val="000000" w:themeColor="text1"/>
                <w:sz w:val="24"/>
                <w:szCs w:val="24"/>
                <w:highlight w:val="none"/>
                <w:lang w:val="en-US" w:eastAsia="zh-CN"/>
                <w14:textFill>
                  <w14:solidFill>
                    <w14:schemeClr w14:val="tx1"/>
                  </w14:solidFill>
                </w14:textFill>
              </w:rPr>
              <w:t>原则，减小工程弃渣产生的影响</w:t>
            </w:r>
            <w:r>
              <w:rPr>
                <w:rFonts w:hint="eastAsia" w:ascii="仿宋" w:hAnsi="仿宋" w:eastAsia="仿宋" w:cs="仿宋"/>
                <w:color w:val="000000" w:themeColor="text1"/>
                <w:sz w:val="24"/>
                <w:szCs w:val="24"/>
                <w:highlight w:val="none"/>
                <w:lang w:val="en-US" w:eastAsia="zh-CN"/>
                <w14:textFill>
                  <w14:solidFill>
                    <w14:schemeClr w14:val="tx1"/>
                  </w14:solidFill>
                </w14:textFill>
              </w:rPr>
              <w:t>，堆渣结束后及时进行植被恢复</w:t>
            </w:r>
            <w:r>
              <w:rPr>
                <w:rFonts w:hint="default"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经采取措施后，项目施工期弃渣影响较小。</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（2）生活垃圾</w:t>
            </w:r>
          </w:p>
          <w:p>
            <w:pPr>
              <w:snapToGrid w:val="0"/>
              <w:spacing w:line="360" w:lineRule="auto"/>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项目施工人员以120人计</w:t>
            </w:r>
            <w:r>
              <w:rPr>
                <w:rFonts w:hint="eastAsia" w:ascii="仿宋" w:hAnsi="仿宋" w:eastAsia="仿宋" w:cs="仿宋"/>
                <w:color w:val="000000" w:themeColor="text1"/>
                <w:sz w:val="24"/>
                <w:szCs w:val="24"/>
                <w:highlight w:val="none"/>
                <w14:textFill>
                  <w14:solidFill>
                    <w14:schemeClr w14:val="tx1"/>
                  </w14:solidFill>
                </w14:textFill>
              </w:rPr>
              <w:t>，施工工人依托周边村民民房居住</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施工期施工人员的生活垃圾产生量按0.5kg/人d考虑，施工期按4个月（120天）计，则施工期生活垃圾产生量为0.06t/d，既整个施工期将产生生活垃圾7.2t，施工现场设置临时垃圾收集箱，零散产生的生活垃圾统一收集后一并清运，不乱堆乱放；项目部产生的生活垃圾经分类收集后，委托当地环卫部门定期清运处置。项目施工期施工人员及施工管理人员生活垃圾能妥善处置，环境影响较小。</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（3）建筑垃圾</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建筑垃圾主要由基础开挖产生的废弃混凝土、废碎砖瓦砾、废电缆、废木材以及装修过程中产生的废弃瓷砖、石块、玻璃、涂料、包装材料等组成。本项目施工以风机平台平整、基础开挖、集电线路敷设、开关站构筑物建设及设备安装为主，产生的建筑垃圾量相对有限。项目建筑垃圾拟分类收集，可回收利用的外售相应收购商，不可回收部分清运至合法建筑垃圾处置点进行处置，</w:t>
            </w:r>
            <w:r>
              <w:rPr>
                <w:rFonts w:hint="default" w:ascii="仿宋" w:hAnsi="仿宋" w:eastAsia="仿宋" w:cs="仿宋"/>
                <w:color w:val="000000" w:themeColor="text1"/>
                <w:sz w:val="24"/>
                <w:szCs w:val="24"/>
                <w:highlight w:val="none"/>
                <w:lang w:val="en-US" w:eastAsia="zh-CN"/>
                <w14:textFill>
                  <w14:solidFill>
                    <w14:schemeClr w14:val="tx1"/>
                  </w14:solidFill>
                </w14:textFill>
              </w:rPr>
              <w:t>不会对周围环境造成大的影响。</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（4）废包装材料</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施工期设备安装过程中会产生废包装材料，主要为废包装纸、废纸箱等，产生量约为2t，集中收集后全部外售至废品回收站，不会对环境造成污染。</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（5）废机油及含油沾染物</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施工工地内设置机械修配及综合加工厂，仅用于施工过程中机械保养，保养过程中产生废机油及沾染油污的废手套、废抹布等，产生量约为0.1t。本次环评要求建设单位在施工工地内设置1间临时危险废物暂存间，收集的废机油及含油沾染物等收集后暂存于临时危废间，委托有资质单位清运处置。施工结束后将临时危废间拆除，并按相关要求进行用地恢复。</w:t>
            </w:r>
          </w:p>
          <w:p>
            <w:pPr>
              <w:snapToGrid w:val="0"/>
              <w:spacing w:line="360" w:lineRule="auto"/>
              <w:ind w:firstLine="482" w:firstLineChars="200"/>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3.5施工期环境风险分析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结合项目特点，根据《建设项目环境风险评价技术导则》（HJ 169-2018），本项目施工期风险源主要为燃油机械使用的汽柴油，属于易燃物质，施工期间不设油库，施工机械和车辆油依托周边加油站，施工现场不进行储存，不需设置专项。</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本次评价提出以下环境风险防控和应急管理的措施：</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①项目施工期间加强燃油机械维修保养。</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②燃油机械加油时进行巡查工作。</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③制定了严格健全的安全管理制度和相关人员的培训制度，规范汽柴油运输、使用和储存的过程。</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④项目施工区内设置醒目的杜绝明火、止吸烟等标志、标语，止火源进入项目内。</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⑤加强对项目风险源的日常管理和检查，预防风险事故的发生。</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综上所述，项目建设内容主要为光伏发电工程，施工过程中除了燃油外不使用其他有毒、易燃或易爆物质，施工期环境风险是可控的。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 w:type="pct"/>
            <w:noWrap w:val="0"/>
            <w:tcMar>
              <w:left w:w="28" w:type="dxa"/>
              <w:right w:w="28" w:type="dxa"/>
            </w:tcMar>
            <w:vAlign w:val="center"/>
          </w:tcPr>
          <w:p>
            <w:pPr>
              <w:pStyle w:val="21"/>
              <w:adjustRightInd w:val="0"/>
              <w:snapToGrid w:val="0"/>
              <w:spacing w:before="0" w:beforeAutospacing="0" w:after="0" w:afterAutospacing="0"/>
              <w:jc w:val="center"/>
              <w:rPr>
                <w:rFonts w:hint="eastAsia" w:ascii="仿宋" w:hAnsi="仿宋" w:eastAsia="仿宋" w:cs="仿宋"/>
                <w:bCs/>
                <w:color w:val="000000" w:themeColor="text1"/>
                <w:kern w:val="2"/>
                <w:sz w:val="24"/>
                <w:szCs w:val="24"/>
                <w14:textFill>
                  <w14:solidFill>
                    <w14:schemeClr w14:val="tx1"/>
                  </w14:solidFill>
                </w14:textFill>
              </w:rPr>
            </w:pPr>
            <w:r>
              <w:rPr>
                <w:rFonts w:hint="eastAsia" w:ascii="仿宋" w:hAnsi="仿宋" w:eastAsia="仿宋" w:cs="仿宋"/>
                <w:bCs/>
                <w:color w:val="000000" w:themeColor="text1"/>
                <w:spacing w:val="10"/>
                <w:kern w:val="2"/>
                <w:sz w:val="24"/>
                <w:szCs w:val="24"/>
                <w:lang w:val="en-US" w:eastAsia="zh-CN"/>
                <w14:textFill>
                  <w14:solidFill>
                    <w14:schemeClr w14:val="tx1"/>
                  </w14:solidFill>
                </w14:textFill>
              </w:rPr>
              <w:t>运营期</w:t>
            </w:r>
            <w:r>
              <w:rPr>
                <w:rFonts w:hint="eastAsia" w:ascii="仿宋" w:hAnsi="仿宋" w:eastAsia="仿宋" w:cs="仿宋"/>
                <w:bCs/>
                <w:color w:val="000000" w:themeColor="text1"/>
                <w:spacing w:val="10"/>
                <w:kern w:val="2"/>
                <w:sz w:val="24"/>
                <w:szCs w:val="24"/>
                <w14:textFill>
                  <w14:solidFill>
                    <w14:schemeClr w14:val="tx1"/>
                  </w14:solidFill>
                </w14:textFill>
              </w:rPr>
              <w:t>生态环境影响分析</w:t>
            </w:r>
            <w:bookmarkEnd w:id="22"/>
          </w:p>
        </w:tc>
        <w:tc>
          <w:tcPr>
            <w:tcW w:w="4786" w:type="pct"/>
            <w:noWrap w:val="0"/>
            <w:vAlign w:val="top"/>
          </w:tcPr>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1、运营期工艺流程及产污环节</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风机发电的原理是使用物理学的光生伏特效应，直接将风能转变为电能，其发电过程无运动部件，无噪声，基本没有污染产生，属清洁能源利用工程。</w:t>
            </w:r>
          </w:p>
          <w:p>
            <w:pPr>
              <w:widowControl w:val="0"/>
              <w:snapToGrid w:val="0"/>
              <w:spacing w:line="360" w:lineRule="auto"/>
              <w:ind w:firstLine="482"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工艺流程：</w:t>
            </w:r>
            <w:r>
              <w:rPr>
                <w:rFonts w:hint="eastAsia" w:ascii="仿宋" w:hAnsi="仿宋" w:eastAsia="仿宋" w:cs="仿宋"/>
                <w:color w:val="000000" w:themeColor="text1"/>
                <w:sz w:val="24"/>
                <w:szCs w:val="24"/>
                <w:highlight w:val="none"/>
                <w:lang w:val="en-US" w:eastAsia="zh-CN"/>
                <w14:textFill>
                  <w14:solidFill>
                    <w14:schemeClr w14:val="tx1"/>
                  </w14:solidFill>
                </w14:textFill>
              </w:rPr>
              <w:t>本项目为弥渡县莲峰村20MW风电场项目，属于“千乡万村驭风行动”乡村风电项目，运营期工艺流程为：风能推动风力发电机组叶片旋转，将风能转化为机械能；通过机舱内发电机将机械能转化为低压交流电（1.14kV）；经机组旁箱式升压变压器升压至35kV；通过35kV集电线路输送至35kV开关站；在开关站内完成调压、无功补偿、控制保护后，以1回35kV线路T接入110kV桐白线，最终送入云南电网。同时，项目配套开关站运维值守，包括日常巡检、设备维护、清洁、绿化养护等管理活动。</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产污环节：</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（1）废水：开关站值守人员产生生活污水（含食堂废水），主要污染物为COD、BOD₅、氨氮、SS、动植物油。</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（2）废气：开关站食堂产生油烟；站内车辆产生汽车尾气；一体化污水处理设备、化粪池、隔油池产生少量恶臭（H</w:t>
            </w:r>
            <w:r>
              <w:rPr>
                <w:rFonts w:hint="eastAsia" w:ascii="仿宋" w:hAnsi="仿宋" w:eastAsia="仿宋" w:cs="仿宋"/>
                <w:color w:val="000000" w:themeColor="text1"/>
                <w:sz w:val="24"/>
                <w:szCs w:val="24"/>
                <w:highlight w:val="none"/>
                <w:vertAlign w:val="subscript"/>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S、NH</w:t>
            </w:r>
            <w:r>
              <w:rPr>
                <w:rFonts w:hint="eastAsia" w:ascii="仿宋" w:hAnsi="仿宋" w:eastAsia="仿宋" w:cs="仿宋"/>
                <w:color w:val="000000" w:themeColor="text1"/>
                <w:sz w:val="24"/>
                <w:szCs w:val="24"/>
                <w:highlight w:val="none"/>
                <w:vertAlign w:val="sub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（3）噪声：风机机组、箱变、开关站主变压器、SVG无功补偿装置、水泵等设备运行产生机械电磁噪声。</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（4）固体废物：</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一般固废：值守人员产生生活垃圾；化粪池、污水处理设施产生污泥；隔油池产生废油脂；食堂产生餐厨垃圾。</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危险废物：变压器、箱变检修/事故产生废变压器油（HW08）；设备维护产生废矿物油、含油抹布、含油包装物（HW08）。</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（5）生态影响：永久占地对植被、野生动物、鸟类栖息地的轻微持续影响；车辆运行对周边生态的微弱扰动。</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运行期工艺流程及产污环节如下图所示：</w:t>
            </w:r>
          </w:p>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object>
                <v:shape id="_x0000_i1027" o:spt="75" type="#_x0000_t75" style="height:206.3pt;width:378.85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pPr>
              <w:spacing w:line="240" w:lineRule="auto"/>
              <w:ind w:firstLine="0" w:firstLineChars="0"/>
              <w:rPr>
                <w:rFonts w:hint="eastAsia"/>
                <w:color w:val="000000" w:themeColor="text1"/>
                <w14:textFill>
                  <w14:solidFill>
                    <w14:schemeClr w14:val="tx1"/>
                  </w14:solidFill>
                </w14:textFill>
              </w:rPr>
            </w:pPr>
          </w:p>
          <w:p>
            <w:pPr>
              <w:ind w:left="0" w:leftChars="0"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图4-</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 xml:space="preserve">  项目运营期工艺流程及产污环节图</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object>
                <v:shape id="_x0000_i1028" o:spt="75" type="#_x0000_t75" style="height:373.5pt;width:399pt;" o:ole="t" filled="f" o:preferrelative="t" stroked="f" coordsize="21600,21600">
                  <v:path/>
                  <v:fill on="f" focussize="0,0"/>
                  <v:stroke on="f"/>
                  <v:imagedata r:id="rId24" o:title=""/>
                  <o:lock v:ext="edit" aspectratio="f"/>
                  <w10:wrap type="none"/>
                  <w10:anchorlock/>
                </v:shape>
                <o:OLEObject Type="Embed" ProgID="Visio.Drawing.11" ShapeID="_x0000_i1028" DrawAspect="Content" ObjectID="_1468075728" r:id="rId23">
                  <o:LockedField>false</o:LockedField>
                </o:OLEObject>
              </w:object>
            </w:r>
          </w:p>
          <w:p>
            <w:pPr>
              <w:widowControl w:val="0"/>
              <w:snapToGrid w:val="0"/>
              <w:spacing w:line="360" w:lineRule="auto"/>
              <w:ind w:firstLine="422" w:firstLineChars="200"/>
              <w:jc w:val="center"/>
              <w:rPr>
                <w:rFonts w:hint="eastAsia" w:ascii="仿宋" w:hAnsi="仿宋" w:eastAsia="宋体" w:cs="仿宋"/>
                <w:b/>
                <w:bCs/>
                <w:color w:val="000000" w:themeColor="text1"/>
                <w:sz w:val="24"/>
                <w:szCs w:val="24"/>
                <w:highlight w:val="none"/>
                <w:lang w:val="en-US" w:eastAsia="zh-CN"/>
                <w14:textFill>
                  <w14:solidFill>
                    <w14:schemeClr w14:val="tx1"/>
                  </w14:solidFill>
                </w14:textFill>
              </w:rPr>
            </w:pPr>
            <w:r>
              <w:rPr>
                <w:rFonts w:hint="eastAsia"/>
                <w:b/>
                <w:bCs/>
                <w:color w:val="000000" w:themeColor="text1"/>
                <w14:textFill>
                  <w14:solidFill>
                    <w14:schemeClr w14:val="tx1"/>
                  </w14:solidFill>
                </w14:textFill>
              </w:rPr>
              <w:t>图4-</w:t>
            </w: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 xml:space="preserve">  项目运营期</w:t>
            </w:r>
            <w:r>
              <w:rPr>
                <w:rFonts w:hint="eastAsia"/>
                <w:b/>
                <w:bCs/>
                <w:color w:val="000000" w:themeColor="text1"/>
                <w:lang w:eastAsia="zh-CN"/>
                <w14:textFill>
                  <w14:solidFill>
                    <w14:schemeClr w14:val="tx1"/>
                  </w14:solidFill>
                </w14:textFill>
              </w:rPr>
              <w:t>污染物处置情况</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2、运营期生态环境影响分析</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2.1运营期对植被及植物资源的影响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运营期，工程对植被及植物资源的影响主要来源于永久占地占用与运营活动干扰两方面。</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项目永久占地包括风机基础4个、箱变基础4个、35kV开关站1座、集电线路及场内道路，占地类型为林地、草地和未利用地，永久占地面积小，不占用基本农田、生态保护红线、国家一级公益林及天然乔木林，避让了各类生态敏感目标。占地范围内植被以次生人工松树林、灌木林地为主，均为区域广布性常见物种，无国家重点保护野生植物、珍稀濒危植物及特有植物分布。永久占地仅造成占地范围内植株清除、生物量减少，不会导致区域植物物种消失，对区域植物区系及植被整体分布格局无明显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运营活动对植被的影响主要为场内车辆运行产生的道路扬尘和汽车尾气，可能使道路两侧植物叶片附着粉尘，轻微影响植物光合作用与呼吸作用。项目区位于云南省弥渡县山区，海拔2150m～2340m，地形开阔，大气扩散条件良好，区域降雨充沛，可有效冲刷沉降大气颗粒物；且扬尘产生量小、持续时间短、影响范围仅局限于道路两侧窄小范围内，对周边植物正常生长发育及生命活动影响微弱。</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场内道路大部分依托原有乡村道路改扩建，周边植物长期受到人类活动与车辆通行影响，已形成一定适应性。运营期无新增占地、无大规模开挖扰动，施工结束后对道路两侧、边坡、开关站周边开展绿化种植与异地补偿栽植，可有效弥补植被生物量损失，改善区域生态景观。综上，项目运营期对区域植被及植物资源影响较小。</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2.2 运营期对野生动物的影响</w:t>
            </w:r>
          </w:p>
          <w:p>
            <w:pPr>
              <w:widowControl w:val="0"/>
              <w:snapToGrid w:val="0"/>
              <w:spacing w:line="360" w:lineRule="auto"/>
              <w:ind w:firstLine="482" w:firstLineChars="200"/>
              <w:jc w:val="both"/>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1、对野生动物的影响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项目投入运营后，对陆生野生动物的影响主要体现在生境占用、生境破碎化、交通噪声与人员活动干扰三个方面。</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工程永久占地导致野生动物局部栖息地小幅丧失，场内道路与风电设施使区域生境出现轻微破碎化，连通性略有降低。但项目占地规模小、呈点状与线状分散布局，区域周边森林、灌丛等原生栖息地大面积连续分布，可完全替代占用生境功能，野生动物迁移、觅食、繁殖空间充足，生境丧失与连通性降低的影响极其有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场内道路为运维道路，车流量极小，车辆运行噪声、灯光以及运维人员日常活动会对周边野生动物产生轻微惊扰。项目区不属于野生动物集中分布区、繁殖区、越冬地，且周边长期存在村庄、农田与人类活动，区域野生动物以适应性强的广布种为主，对人类活动干扰已具备较高耐受性。机械噪声、车辆噪音与灯光影响范围小、强度低，不会改变野生动物活动规律与行为模式，不会造成动物逃逸、种群数量下降等不利后果。</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项目运营期无大气污染物排放、无生产废水排放，不改变野生动物饮水、觅食环境，不破坏动物巢穴与繁殖场所。因此，项目运营期对区域陆生野生动物影响较小。</w:t>
            </w:r>
          </w:p>
          <w:p>
            <w:pPr>
              <w:widowControl w:val="0"/>
              <w:snapToGrid w:val="0"/>
              <w:spacing w:line="360" w:lineRule="auto"/>
              <w:ind w:firstLine="482" w:firstLineChars="200"/>
              <w:jc w:val="both"/>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2、对鸟类的影响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（1）生境质量降低对鸟类的影响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工程永久占地占用山脊缓坡林地与灌丛，导致鸟类栖息地面积小幅缩小、乔木与灌丛数量减少，鸟类栖息空间与食物资源略有下降。项目区鸟类以森林鸟类、灌丛鸟类及村落伴生鸟类为主，大多为广布性常见物种，无珍稀濒危鸟类集中分布与繁殖。项目占地范围小，周边同类型栖息地广泛分布，可完全替代占用生境功能；运营初期鸟类数量可能短暂下降，随着场区植被恢复、生态环境趋于稳定，鸟类可逐步适应并返回栖息，种群数量可恢复至原有水平。</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风机运行、开关站运维等人类活动会对鸟类活动产生轻微惊扰，但项目区鸟类长期适应人类干扰环境，对环境变化具备较强适应能力，栖息地质量小幅降低不会造成鸟类物种消失，对区域鸟类多样性无明显负面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（2）风机运行对鸟类的影响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风机运行带来的主要风险为鸟类碰撞风机叶片或塔筒造成伤亡，进而影响鸟类栖息与觅食。本项目安装4台5MW风机，轮毂高度120m，叶轮直径200m，叶片最高点约218m。风机叶片额定转速较低，鸟类视觉敏锐、避障反应迅速，正常飞行条件下主动碰撞风机的概率极低。</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从飞行高度来看，区域常见鸟类飞行高度多在400m 左右，鹤类、雁类等鸟类最高飞行高度可达900m，普遍高于风机最大高度，穿越风机分布区域的鸟类数量较少。风机沿山脊单排布置，数量少、排列短，对鸟类飞行路线的屏障作用小。综上，风机运行对鸟类直接碰撞风险低，影响较小。</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（3）对鸟类迁徙的影响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项目区不位于鸟类主要迁徙通道，不属于候鸟重要停歇地与觅食地，迁徙季节仅有少量宽面迁徙候鸟零星经过。</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风机运行对迁徙鸟类的影响主要体现在中途停歇觅食干扰与夜间光源干扰两方面。迁徙候鸟中途停歇时飞行高度一般低于100m，风机叶片与轮毂高度会对该部分鸟类产生一定空间压缩与惊扰，存在轻微碰撞风险；但项目区非候鸟关键停歇补给站点，影响范围有限。夜间灯光易吸引迁徙鸟类，增加碰撞概率，本项目严格管控光源，风机不设置红色闪光灯，不使用钠蒸汽灯，仅在开关站设置必要照明，可最大限度降低光源对迁徙鸟类的干扰。</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风机对长期定居的留鸟影响较小，主要对迁徙候鸟存在轻微潜在影响。在落实光源管控、生态监测等措施后，项目运营对鸟类迁徙的影响可降至最低，整体影响较小。</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2.3运营期对生态系统的影响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项目运营期，施工活动完全结束，施工扰动消失，区域生态系统进入稳定恢复与自我调节阶段。</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因施工扰动暂时迁出的野生动物逐步适应周边环境，返回项目区及周边栖息活动；临时占地全部实施植被恢复、土地复垦与生态整治，风机基础、箱变基础、开关站、道路边坡及弃渣场均采取灌草结合、框格梁植草等水土保持与绿化措施，植被覆盖度逐步提升，可有效弥补永久占地造成的植被损失，提升水源涵养、水土保持生态功能，控制水土流失。</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运营期，工程为风力发电清洁能源项目，无废气、废水外排，无高强度生态扰动，不破坏生态系统结构与物质循环、能量流动过程。生态系统主导服务功能中，水源涵养、土壤保持、生物多样性维护功能均保持稳定，植被恢复措施持续发挥生态效益，清洁能源替代燃煤发电可减少碳排放与大气污染，带来正向生态效益。</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占地范围小、生态影响轻微，区域生态系统结构完整、连通性良好，自我修复能力与稳定性较强，运营期工程对生态系统的影响缓慢减弱，生态系统可逐步恢复至接近原有状态，生态系统服务功能整体保持稳定。</w:t>
            </w:r>
          </w:p>
          <w:p>
            <w:pPr>
              <w:widowControl w:val="0"/>
              <w:snapToGrid w:val="0"/>
              <w:spacing w:line="360" w:lineRule="auto"/>
              <w:ind w:firstLine="482" w:firstLineChars="200"/>
              <w:jc w:val="both"/>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2.4 运营期生态环境影响结论</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对陆生生态环境的影响主要表现为：永久占地改变土地利用类型、造成植被生物量损失；野生动物生境小幅丧失、生境连通性略有降低；道路车辆噪声、尾气及人员活动对动物产生轻微惊扰；风机运行对鸟类存在微弱碰撞风险与迁徙干扰。</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永久占地面积小，占地范围内无珍稀保护植物与敏感野生动物栖息地，涉及物种均为广布常见种；施工结束后开展全面植被恢复与生态整治，运营期无新增生态破坏，无污染物排放；区域生态系统稳定性强，自我修复能力良好，运营干扰强度低、范围小。</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总体而言，项目运营期对区域植被、野生动物及生态系统的影响均为轻微、可逆、可防控，在落实植被养护、生态监测、光源管控等生态保护措施后，项目运营不会对区域陆生生态环境产生明显不利影响。</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bookmarkStart w:id="28" w:name="OLE_LINK9"/>
            <w:bookmarkStart w:id="29" w:name="OLE_LINK13"/>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3、运营期地表水环境影响分析</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3.1废水源强</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（1）生活污水</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根据建设单位提供资料，本项目运营期实行定员值守制度，工作人员拟为6人，均在35kV开关站内集中办公、食宿，生活用水拟取自场区西侧星峰水库库水，经净化处理后使用。</w:t>
            </w:r>
          </w:p>
          <w:p>
            <w:pPr>
              <w:widowControl w:val="0"/>
              <w:snapToGrid w:val="0"/>
              <w:spacing w:line="360" w:lineRule="auto"/>
              <w:ind w:firstLine="480" w:firstLineChars="200"/>
              <w:jc w:val="both"/>
              <w:rPr>
                <w:rFonts w:hint="default" w:ascii="仿宋" w:hAnsi="仿宋" w:eastAsia="仿宋" w:cs="仿宋"/>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生活用水参考《云南省地方标准用水定额》（DB53/T168-2019）中城镇生活用水量计算，即100L/（人·d），其中食堂用水量为20L/（人·d），则生活用水量为0.48m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/d，食堂用水为0.12m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/d。项目废水产生系数按80%计，则生活污水产生量为0.384m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/d，食堂废水产生量为0.096m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/d,即本项目综合废水产生量为0.48m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/d，175.2m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vertAlign w:val="baseline"/>
                <w:lang w:val="en-US" w:eastAsia="zh-CN"/>
                <w14:textFill>
                  <w14:solidFill>
                    <w14:schemeClr w14:val="tx1"/>
                  </w14:solidFill>
                </w14:textFill>
              </w:rPr>
              <w:t>/a（365天计）。</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食堂废水通过隔油池处理后排入站内污水管网，和其他生活污水一起汇入化粪池预处理，再进入一体化污水处理设备进行处理，处理后的污水达《城市污水再生利用城市杂用水水质》(GB/T18920-2020)的绿化用水标准后回用于站内绿化，不外排。</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项目可行性研究报告相关内容，项目拟在开关站设置1座有效容积为1m³的隔油池、1座有效容积为4m³的化粪池和1座处理规模为4m³/d的一体化污水处理设备。食堂废水通过隔油池处理后排入站内污水管网，最终和其他生活污水一起汇入一体化污水处理设备进行处理，处理达标后全部回用站内绿化，不会对地表水环境产生影响。本次环评提出，开关站设置1座有效容积为2.5m³的回用水池，收集雨天一体化污水处理设备尾水，待天晴后回用，不外排。</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（2）绿化用水</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根据项目可行性研究报告相关内容，开关站绿化面积100m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。参照《云南省用水定额》（DB53/T168-2019）中绿化管理用水量3L/（m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·次）计，非雨天每天浇洒一次，项目区非雨天按200天计，则项目</w:t>
            </w:r>
            <w:bookmarkEnd w:id="28"/>
            <w:r>
              <w:rPr>
                <w:rFonts w:hint="eastAsia" w:ascii="仿宋" w:hAnsi="仿宋" w:eastAsia="仿宋" w:cs="仿宋"/>
                <w:color w:val="000000" w:themeColor="text1"/>
                <w:sz w:val="24"/>
                <w:szCs w:val="24"/>
                <w:highlight w:val="none"/>
                <w:lang w:val="en-US" w:eastAsia="zh-CN"/>
                <w14:textFill>
                  <w14:solidFill>
                    <w14:schemeClr w14:val="tx1"/>
                  </w14:solidFill>
                </w14:textFill>
              </w:rPr>
              <w:t>绿化用水为0.3m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/次，60m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/a。绿化用水均被植物吸收以及少部分被太阳蒸发，无废水产生。</w:t>
            </w:r>
            <w:bookmarkEnd w:id="29"/>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项目运营期水平衡图见图4-6、4-7。</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color w:val="000000" w:themeColor="text1"/>
                <w14:textFill>
                  <w14:solidFill>
                    <w14:schemeClr w14:val="tx1"/>
                  </w14:solidFill>
                </w14:textFill>
              </w:rPr>
            </w:pPr>
            <w:r>
              <w:rPr>
                <w:rFonts w:hint="eastAsia" w:eastAsia="宋体"/>
                <w:b/>
                <w:bCs/>
                <w:color w:val="000000" w:themeColor="text1"/>
                <w:lang w:eastAsia="zh-CN"/>
                <w14:textFill>
                  <w14:solidFill>
                    <w14:schemeClr w14:val="tx1"/>
                  </w14:solidFill>
                </w14:textFill>
              </w:rPr>
              <w:object>
                <v:shape id="_x0000_i1029" o:spt="75" type="#_x0000_t75" style="height:212.15pt;width:386.7pt;" o:ole="t" filled="f" o:preferrelative="t" stroked="f" coordsize="21600,21600">
                  <v:path/>
                  <v:fill on="f" focussize="0,0"/>
                  <v:stroke on="f"/>
                  <v:imagedata r:id="rId26" o:title=""/>
                  <o:lock v:ext="edit" aspectratio="f"/>
                  <w10:wrap type="none"/>
                  <w10:anchorlock/>
                </v:shape>
                <o:OLEObject Type="Embed" ProgID="Visio.Drawing.11" ShapeID="_x0000_i1029" DrawAspect="Content" ObjectID="_1468075729" r:id="rId25">
                  <o:LockedField>false</o:LockedField>
                </o:OLEObject>
              </w:object>
            </w:r>
          </w:p>
          <w:p>
            <w:pPr>
              <w:ind w:left="0" w:leftChars="0" w:firstLine="0" w:firstLineChars="0"/>
              <w:jc w:val="cente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图4-</w:t>
            </w:r>
            <w:r>
              <w:rPr>
                <w:rFonts w:hint="eastAsia"/>
                <w:b/>
                <w:bCs/>
                <w:color w:val="000000" w:themeColor="text1"/>
                <w:lang w:val="en-US" w:eastAsia="zh-CN"/>
                <w14:textFill>
                  <w14:solidFill>
                    <w14:schemeClr w14:val="tx1"/>
                  </w14:solidFill>
                </w14:textFill>
              </w:rPr>
              <w:t>6</w:t>
            </w:r>
            <w:r>
              <w:rPr>
                <w:rFonts w:hint="eastAsia"/>
                <w:b/>
                <w:bCs/>
                <w:color w:val="000000" w:themeColor="text1"/>
                <w14:textFill>
                  <w14:solidFill>
                    <w14:schemeClr w14:val="tx1"/>
                  </w14:solidFill>
                </w14:textFill>
              </w:rPr>
              <w:t xml:space="preserve">  运营期非雨天水平衡图  单位：m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/d</w:t>
            </w:r>
          </w:p>
          <w:p>
            <w:pPr>
              <w:bidi w:val="0"/>
              <w:ind w:left="0" w:leftChars="0" w:firstLine="0" w:firstLineChars="0"/>
              <w:jc w:val="both"/>
              <w:rPr>
                <w:rFonts w:hint="eastAsia" w:eastAsia="宋体"/>
                <w:b/>
                <w:bCs/>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object>
                <v:shape id="_x0000_i1030" o:spt="75" type="#_x0000_t75" style="height:257.25pt;width:499.5pt;" o:ole="t" filled="f" o:preferrelative="t" stroked="f" coordsize="21600,21600">
                  <v:path/>
                  <v:fill on="f" focussize="0,0"/>
                  <v:stroke on="f"/>
                  <v:imagedata r:id="rId28" o:title=""/>
                  <o:lock v:ext="edit" aspectratio="f"/>
                  <w10:wrap type="none"/>
                  <w10:anchorlock/>
                </v:shape>
                <o:OLEObject Type="Embed" ProgID="Visio.Drawing.11" ShapeID="_x0000_i1030" DrawAspect="Content" ObjectID="_1468075730" r:id="rId27">
                  <o:LockedField>false</o:LockedField>
                </o:OLEObject>
              </w:object>
            </w:r>
          </w:p>
          <w:p>
            <w:pPr>
              <w:bidi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图4-</w:t>
            </w:r>
            <w:r>
              <w:rPr>
                <w:rFonts w:hint="eastAsia"/>
                <w:b/>
                <w:bCs/>
                <w:color w:val="000000" w:themeColor="text1"/>
                <w:lang w:val="en-US" w:eastAsia="zh-CN"/>
                <w14:textFill>
                  <w14:solidFill>
                    <w14:schemeClr w14:val="tx1"/>
                  </w14:solidFill>
                </w14:textFill>
              </w:rPr>
              <w:t>7</w:t>
            </w:r>
            <w:r>
              <w:rPr>
                <w:rFonts w:hint="eastAsia"/>
                <w:b/>
                <w:bCs/>
                <w:color w:val="000000" w:themeColor="text1"/>
                <w14:textFill>
                  <w14:solidFill>
                    <w14:schemeClr w14:val="tx1"/>
                  </w14:solidFill>
                </w14:textFill>
              </w:rPr>
              <w:t xml:space="preserve">  运营期雨天水平衡图  单位：m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/d</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3.2污水处理措施可行性分析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（1）隔油池设置的合理性分析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可研报告相关内容，本项目开关站拟设置1座有效容积为1.0m³的隔油池，专门用于处理食堂含油废水。隔油池采用矩形地埋式结构，利用油滴与水的密度差使浮油上浮、重油及杂质沉降，实现含油废水预处理，保障后续污水处理系统稳定运行。</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饮食业环境保护技术规范》（HJ554-2010）规定：含油污水水力停留时间不宜小于0.5h；池内水流流速不宜大于0.005m/s；人工除油的隔油池内存油部分容积不得小于该池有效容积的25%；隔油池出水管管底至池底深度不得小于1.2m。</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隔油池的有效容积可以通过以下公式计算：</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V=60Qt</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式中：Q为最大设计流量，m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/s；T为含油污水在池内停留时间，min。</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项目食堂废水产生量0.096m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/d，食堂清洁每天按2h考虑。设计流量按实际流量的1.2计算，则设计流量为0.0000133m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/s；含油废水水力停留时间本次按1h计算，预留30%的存油空间，则隔油池有效容积应不低于0.07m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。本项目设计隔油池有效容积为1.0m³，远大于计算所需最小容积，水力停留时间、水流流速、存油容积等指标均满足规范要求，隔油池设置合理可行。</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（2）化粪池设置的合理性分析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化粪池作为生活污水预处理设施，采用沉淀与厌氧发酵相结合的原理，在重力作用下使污水中大颗粒悬浮物沉降形成沉渣、漂浮物形成浮渣，同时通过厌氧微生物降解部分有机物，降低后续污水处理负荷。</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根据《建筑给水排水设计规范》（GB50015-2019），化粪池水力停留时间宜为12~24h。</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项目生活污水产生总量为0.384m³/d，污水处理规模取1.2倍安全系数，水力停留时间按24h计，则化粪池有效容积应不低于0.5m³。</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本项目设计1座有效容积为4.0m³的化粪池，远大于计算所需最小有效容积，可充分满足沉淀、厌氧发酵及水量缓冲需求，化粪池设置合理可行。</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（3）一体化污水处理设备设置的合理性分析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①处理规模</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项目需要处理的废水量为生活污水和食堂废水，总量0.48m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/d，主要污染物为BOD5、COD、NH3-N等，考虑1.2的安全系数，一体化污水处理设备的处理规模不小于0.6m</w:t>
            </w:r>
            <w:r>
              <w:rPr>
                <w:rFonts w:hint="eastAsia" w:ascii="仿宋" w:hAnsi="仿宋" w:eastAsia="仿宋" w:cs="仿宋"/>
                <w:color w:val="000000" w:themeColor="text1"/>
                <w:sz w:val="24"/>
                <w:szCs w:val="24"/>
                <w:highlight w:val="none"/>
                <w:vertAlign w:val="superscript"/>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/d。本项目拟设置1座处理规模为4.0m³/d的一体化污水处理设备，处理能力远大于实际废水产生量，设备处理裕度充足，可适应水质波动、季节变化及短期水量增加需求，处理规模满足项目污水处理要求。</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②处理工艺</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根据项目可行性研究报告，本项目一体化污水处理设备采用接触氧化工艺 + MBR 膜生物反应器组合工艺，该工艺为生物接触氧化法与膜分离技术的联合工艺，处理效率高、出水水质稳定，适合本项目生活污水处理需求。</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工艺流程：格栅截留大颗粒杂物→调节池均质均量→接触氧化池（生物膜降解有机物）→MBR膜池（高效固液分离）→消毒池→回用水池。</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工艺特点：</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1）接触氧化段：池内设置弹性立体填料，微生物附着形成生物膜，对 COD、BOD₅具有高效降解作用，抗冲击负荷能力强、运行稳定、污泥产量低；</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2）MBR膜段：采用PVDF浸没式平片膜组件，实现泥水高效分离，出水SS、浊度接近零，可深度去除氨氮、总氮等污染物；</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3）双工艺联用：先通过接触氧化完成主体生化处理，再通过MBR膜保障出水稳定达标，相比单一工艺更适用于山区风电场少人值守、水质要求高的场景。</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经处理后，出水可稳定达到《城市污水再生利用城市杂用水水质》（GB/T 18920-2020）中绿化用水标准，全部回用于开关站绿化灌溉，不外排。</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项目污水处理站自动化程度较高，无需配备全职值守人员，仅需运维人员定期巡检维护。设备剩余污泥产量低，可与化粪池污泥一并定期委托环卫部门或资质单位清运处置，运行维护简单便捷。</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MBR生活污水处理技术已较为成熟，运行稳定，在国内外范围应用均十分广泛，污水处理工艺成熟，出水可稳定达到《城市污水再生利用 城市杂用水水质》（GB/T18920-2020）中城市绿化水质要求，可回用于开关站绿化用水。</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（4）生活污水回用及回用水池设置合理性分析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为确保雨天及污水处理设备故障时废水不外排，本次环评要求开关站设置1座有效容积为2.5m³的回用水池，用于暂存雨天一体化污水处理设备尾水及事故状态下废水，待非雨天全部回用于绿化灌溉。</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回用水池容积可满足至少5天污水处理尾水储存需求，同时可容纳48h内设备故障产生的废水量，保障项目生活污水全部回用、零外排，有效避免废水对区域地表水环境造成影响，设置合理可行。</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3.3地表水环境影响分析结论</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废水主要为食堂废水和生活污水。开关站食堂废水通过隔油池处理后排入站内污水管网和其他生活污水一起排入化粪池，化粪池预处理后排入一体化污水处理设备进行处理，出水达《城市污水再生利用城市杂用水水质》（GB/T18920-2020）城市绿化用水标准后回用于站内绿化，不外排。项目运营期无废水外排，对地表水环境影响小。</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4、运营期大气环境影响分析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项目运营期无生产工艺废气排放，大气污染源主要为开关站食堂油烟、场内车辆行驶尾气、污水处理设施无组织恶臭，均为无组织低强度排放，对区域大气环境影响轻微。</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（1）食堂油烟</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本项目运营期开关站食堂内就餐人数以6人计，均在35kV开关站食堂就餐，为小型职工食堂规模。根据同类型项目，食用油用量取30g/人•d，则消耗食用油180g/d，一般油烟挥发量总占耗油量的2%～4%，本次取3%，食堂油烟产生量为5.4g/d。</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项目食堂设置基准灶头数1个，属于小型规模，项目食堂配套安装净化效率≥60% 的油烟净化器，处理后油烟排放量为2.2g/d（0.0022kg/d）。按日烹饪时间3h、风机风量500m³/h计算，排放速率约0.0007kg/h，排放浓度1.4mg/m³，满足《饮食业油烟排放标准（试行）》（GB 18483-2001）小型规模标准要求（排放浓度≤2.0mg/m³）。</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食堂油烟经统一收集净化后通过专用烟道高空排放，产生量小、扩散条件好，对周边大气环境无明显影响。</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（2）汽车尾气</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项目运营期场内车辆主要为运维巡检车辆、检修及少量物料运输车辆，车流量小、使用频率低。车辆均为轻型汽油/柴油车，尾气主要污染物为CO、NOx、THC等。</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停车场及场内道路均为露天开阔布置，通风扩散条件良好，汽车尾气产生量小、呈无组织间歇式排放，经空气自然稀释扩散后对区域环境空气质量影响很小。</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（3）污水处理设施异味</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项目污水处理系统包括1.0m³隔油池、4.0m³化粪池、4.0m³/d接触氧化+MBR一体化设备，全部采用密闭结构，池体加盖密闭，恶臭气体产生量极低。</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恶臭主要成分为NH₃、H</w:t>
            </w:r>
            <w:r>
              <w:rPr>
                <w:rFonts w:hint="eastAsia" w:ascii="仿宋" w:hAnsi="仿宋" w:eastAsia="仿宋" w:cs="仿宋"/>
                <w:color w:val="000000" w:themeColor="text1"/>
                <w:sz w:val="24"/>
                <w:szCs w:val="24"/>
                <w:highlight w:val="none"/>
                <w:vertAlign w:val="subscript"/>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S等，无组织逸散量小，且场区位于山区开阔地带，大气扩散条件好。项目通过定期维护、及时清掏污泥、加强池体密闭等措施控制恶臭释放，对周边环境空气影响较小且可接受。</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4.1大气环境影响结论</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废气均为间断、低浓度、无组织排放，产生量小、影响范围有限，均采取有效收集/处置措施，满足相关排放标准要求。在落实食堂油烟净化、污水处理设施密闭等措施后，运营期对区域大气环境质量影响较小，环境风险可控。</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5、运营期声环境影响分析</w:t>
            </w:r>
          </w:p>
          <w:p>
            <w:pPr>
              <w:widowControl w:val="0"/>
              <w:snapToGrid w:val="0"/>
              <w:spacing w:line="360" w:lineRule="auto"/>
              <w:ind w:firstLine="482" w:firstLineChars="200"/>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5.1噪声源强</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运营期无机械转动类高噪声设备，主要噪声源为风电机组配套设备噪声、开关站电气设备噪声及辅助水泵噪声，均为稳态电磁噪声与机械噪声。</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风机在风能转换为电能过程中无齿轮箱、曲轴等运动部件，噪声水平较低。风机场区噪声主要来自逆变器与箱式变压器；开关站噪声主要来自主变压器、配电装置、SVG无功补偿装置及一体化泵站水泵。</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（1）风机场区噪声源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逆变器：共4台，布置于风机塔筒附近，1m处噪声源强约50dB(A)，置于集装箱式舱体内，隔声衰减5~10dB(A)，舱外排放源强约40dB(A)。</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箱式变压器：共4台（5500kVA），1m处噪声源强约55dB(A)，置于集装箱式舱体内，隔声衰减5~10dB(A)，舱外排放源强约45dB(A)。</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（2）开关站噪声源</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主变压器：1台，1m处噪声源强65dB(A)，选用低噪声设备，配合厂界围墙隔声，排放源强60dB(A)。</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配电装置：1套户内成套开关柜，源强62dB(A)，采取低噪设备+厂界围墙隔声，排放源强57dB(A)。</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35kV直挂式水冷SVG无功补偿装置：1套，噪声源强按62dB(A)计，采取低噪设备+厂界围墙隔声，排放源强57dB(A)。</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一体化泵站水泵：1台，噪声源强75dB(A)，采取设备基础减振、置于泵房内、厂界围墙隔声，夜间不运行，排放源强55dB(A)。</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项目运营期噪声源强及拟采取的减缓措施见表4-5。</w:t>
            </w:r>
          </w:p>
          <w:p>
            <w:pPr>
              <w:widowControl w:val="0"/>
              <w:snapToGrid w:val="0"/>
              <w:spacing w:line="360" w:lineRule="auto"/>
              <w:ind w:firstLine="422" w:firstLineChars="200"/>
              <w:jc w:val="center"/>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表4-5  项目运营期噪声源强及拟采取的减缓措施一览表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161"/>
              <w:gridCol w:w="1078"/>
              <w:gridCol w:w="659"/>
              <w:gridCol w:w="1017"/>
              <w:gridCol w:w="2038"/>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噪声源</w:t>
                  </w:r>
                </w:p>
              </w:tc>
              <w:tc>
                <w:tcPr>
                  <w:tcW w:w="74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位置</w:t>
                  </w:r>
                </w:p>
              </w:tc>
              <w:tc>
                <w:tcPr>
                  <w:tcW w:w="69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声源类型</w:t>
                  </w:r>
                </w:p>
              </w:tc>
              <w:tc>
                <w:tcPr>
                  <w:tcW w:w="42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数量</w:t>
                  </w:r>
                </w:p>
              </w:tc>
              <w:tc>
                <w:tcPr>
                  <w:tcW w:w="65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产生源强</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dB（A）</w:t>
                  </w:r>
                </w:p>
              </w:tc>
              <w:tc>
                <w:tcPr>
                  <w:tcW w:w="13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降噪措施</w:t>
                  </w:r>
                </w:p>
              </w:tc>
              <w:tc>
                <w:tcPr>
                  <w:tcW w:w="65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排放源强</w:t>
                  </w:r>
                </w:p>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逆变器</w:t>
                  </w:r>
                </w:p>
              </w:tc>
              <w:tc>
                <w:tcPr>
                  <w:tcW w:w="74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场区</w:t>
                  </w:r>
                </w:p>
              </w:tc>
              <w:tc>
                <w:tcPr>
                  <w:tcW w:w="69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频发</w:t>
                  </w:r>
                </w:p>
              </w:tc>
              <w:tc>
                <w:tcPr>
                  <w:tcW w:w="422"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p>
              </w:tc>
              <w:tc>
                <w:tcPr>
                  <w:tcW w:w="65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50</w:t>
                  </w:r>
                </w:p>
              </w:tc>
              <w:tc>
                <w:tcPr>
                  <w:tcW w:w="13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集装箱式舱体隔声</w:t>
                  </w:r>
                </w:p>
              </w:tc>
              <w:tc>
                <w:tcPr>
                  <w:tcW w:w="65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箱式变压器</w:t>
                  </w:r>
                </w:p>
              </w:tc>
              <w:tc>
                <w:tcPr>
                  <w:tcW w:w="743"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场区</w:t>
                  </w:r>
                </w:p>
              </w:tc>
              <w:tc>
                <w:tcPr>
                  <w:tcW w:w="69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频发</w:t>
                  </w:r>
                </w:p>
              </w:tc>
              <w:tc>
                <w:tcPr>
                  <w:tcW w:w="422"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p>
              </w:tc>
              <w:tc>
                <w:tcPr>
                  <w:tcW w:w="65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13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集装箱式舱体隔声</w:t>
                  </w:r>
                </w:p>
              </w:tc>
              <w:tc>
                <w:tcPr>
                  <w:tcW w:w="65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主变压器</w:t>
                  </w:r>
                </w:p>
              </w:tc>
              <w:tc>
                <w:tcPr>
                  <w:tcW w:w="743"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开关站</w:t>
                  </w:r>
                </w:p>
              </w:tc>
              <w:tc>
                <w:tcPr>
                  <w:tcW w:w="69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频发</w:t>
                  </w:r>
                </w:p>
              </w:tc>
              <w:tc>
                <w:tcPr>
                  <w:tcW w:w="42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65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65</w:t>
                  </w:r>
                </w:p>
              </w:tc>
              <w:tc>
                <w:tcPr>
                  <w:tcW w:w="13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低噪设备、厂界围墙</w:t>
                  </w:r>
                </w:p>
              </w:tc>
              <w:tc>
                <w:tcPr>
                  <w:tcW w:w="65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配电装置</w:t>
                  </w:r>
                </w:p>
              </w:tc>
              <w:tc>
                <w:tcPr>
                  <w:tcW w:w="743"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开关站</w:t>
                  </w:r>
                </w:p>
              </w:tc>
              <w:tc>
                <w:tcPr>
                  <w:tcW w:w="69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频发</w:t>
                  </w:r>
                </w:p>
              </w:tc>
              <w:tc>
                <w:tcPr>
                  <w:tcW w:w="422"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p>
              </w:tc>
              <w:tc>
                <w:tcPr>
                  <w:tcW w:w="65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62</w:t>
                  </w:r>
                </w:p>
              </w:tc>
              <w:tc>
                <w:tcPr>
                  <w:tcW w:w="13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低噪设备、厂界围墙</w:t>
                  </w:r>
                </w:p>
              </w:tc>
              <w:tc>
                <w:tcPr>
                  <w:tcW w:w="65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SVG</w:t>
                  </w:r>
                  <w:r>
                    <w:rPr>
                      <w:rFonts w:hint="eastAsia" w:ascii="仿宋" w:hAnsi="仿宋" w:eastAsia="仿宋" w:cs="仿宋"/>
                      <w:color w:val="000000" w:themeColor="text1"/>
                      <w:sz w:val="21"/>
                      <w:szCs w:val="21"/>
                      <w14:textFill>
                        <w14:solidFill>
                          <w14:schemeClr w14:val="tx1"/>
                        </w14:solidFill>
                      </w14:textFill>
                    </w:rPr>
                    <w:t>无功补偿装置</w:t>
                  </w:r>
                </w:p>
              </w:tc>
              <w:tc>
                <w:tcPr>
                  <w:tcW w:w="743"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开关站</w:t>
                  </w:r>
                </w:p>
              </w:tc>
              <w:tc>
                <w:tcPr>
                  <w:tcW w:w="69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频发</w:t>
                  </w:r>
                </w:p>
              </w:tc>
              <w:tc>
                <w:tcPr>
                  <w:tcW w:w="42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65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62</w:t>
                  </w:r>
                </w:p>
              </w:tc>
              <w:tc>
                <w:tcPr>
                  <w:tcW w:w="13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低噪设备、厂界围墙</w:t>
                  </w:r>
                </w:p>
              </w:tc>
              <w:tc>
                <w:tcPr>
                  <w:tcW w:w="65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水泵</w:t>
                  </w:r>
                </w:p>
              </w:tc>
              <w:tc>
                <w:tcPr>
                  <w:tcW w:w="743"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开关站</w:t>
                  </w:r>
                </w:p>
              </w:tc>
              <w:tc>
                <w:tcPr>
                  <w:tcW w:w="690"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偶发</w:t>
                  </w:r>
                </w:p>
              </w:tc>
              <w:tc>
                <w:tcPr>
                  <w:tcW w:w="422"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65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75</w:t>
                  </w:r>
                </w:p>
              </w:tc>
              <w:tc>
                <w:tcPr>
                  <w:tcW w:w="130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低噪设备、基础减振、泵房封闭、围墙隔声、夜间停运</w:t>
                  </w:r>
                </w:p>
              </w:tc>
              <w:tc>
                <w:tcPr>
                  <w:tcW w:w="65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r>
          </w:tbl>
          <w:p>
            <w:pPr>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5.2预测模式</w:t>
            </w:r>
          </w:p>
          <w:p>
            <w:pPr>
              <w:widowControl w:val="0"/>
              <w:snapToGrid w:val="0"/>
              <w:spacing w:line="360" w:lineRule="auto"/>
              <w:ind w:firstLine="480" w:firstLineChars="20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根据项目噪声源的特点，本次评价采用《环境影响评价技术导则 声环境》（HJ2.4-2021）无指向性点声源的几何发散衰减公式进行预测：</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LA(r)=LA(r0)−20lg(r/r0)</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式中：</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LA(r)—预测点声压级，dB(A)；</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LA(r0)—参考位置声压级，dB(A)；</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r—预测点距声源距离，m；</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r0—参考位置距离，m。</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多声源叠加公式：</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Lp=10lg(10^(Lp1/10)+10^(Lp2/10)+…+10^(Lpn/10))</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厂界噪声贡献值计算公式：</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Leq=10lg[(10^(L1/10)+10^(L2/10)+…+10^(Ln/10))]</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式中：</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Leq—预测点等效声级，dB(A)；</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L1~Ln—各声源在预测点的贡献值。</w:t>
            </w:r>
          </w:p>
          <w:p>
            <w:pPr>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5.3预测结果</w:t>
            </w:r>
          </w:p>
          <w:p>
            <w:pPr>
              <w:spacing w:line="360" w:lineRule="auto"/>
              <w:ind w:firstLine="480"/>
              <w:rPr>
                <w:rFonts w:hint="eastAsia" w:ascii="仿宋" w:hAnsi="仿宋" w:eastAsia="仿宋" w:cs="仿宋"/>
                <w:b w:val="0"/>
                <w:bCs w:val="0"/>
                <w:i w:val="0"/>
                <w:iCs w:val="0"/>
                <w:color w:val="000000" w:themeColor="text1"/>
                <w:sz w:val="24"/>
                <w:szCs w:val="24"/>
                <w14:textFill>
                  <w14:solidFill>
                    <w14:schemeClr w14:val="tx1"/>
                  </w14:solidFill>
                </w14:textFill>
              </w:rPr>
            </w:pPr>
            <w:r>
              <w:rPr>
                <w:rFonts w:hint="eastAsia" w:ascii="仿宋" w:hAnsi="仿宋" w:eastAsia="仿宋" w:cs="仿宋"/>
                <w:b w:val="0"/>
                <w:bCs w:val="0"/>
                <w:i w:val="0"/>
                <w:iCs w:val="0"/>
                <w:color w:val="000000" w:themeColor="text1"/>
                <w:sz w:val="24"/>
                <w:szCs w:val="24"/>
                <w14:textFill>
                  <w14:solidFill>
                    <w14:schemeClr w14:val="tx1"/>
                  </w14:solidFill>
                </w14:textFill>
              </w:rPr>
              <w:t>根据开关站总平面布置及声源分布，对开关站东、南、西、北四侧厂界噪声进行预测，执行《工业企业厂界环境噪声排放标准》（GB12348-2008）1类区标准：昼间≤55dB(A)，夜间≤45dB(A)，项目正常运行状态下</w:t>
            </w:r>
            <w:r>
              <w:rPr>
                <w:rFonts w:hint="eastAsia" w:ascii="仿宋" w:hAnsi="仿宋" w:eastAsia="仿宋" w:cs="仿宋"/>
                <w:b w:val="0"/>
                <w:bCs w:val="0"/>
                <w:i w:val="0"/>
                <w:iCs w:val="0"/>
                <w:color w:val="000000" w:themeColor="text1"/>
                <w:sz w:val="24"/>
                <w:szCs w:val="24"/>
                <w:lang w:eastAsia="zh-CN"/>
                <w14:textFill>
                  <w14:solidFill>
                    <w14:schemeClr w14:val="tx1"/>
                  </w14:solidFill>
                </w14:textFill>
              </w:rPr>
              <w:t>开关站</w:t>
            </w:r>
            <w:r>
              <w:rPr>
                <w:rFonts w:hint="eastAsia" w:ascii="仿宋" w:hAnsi="仿宋" w:eastAsia="仿宋" w:cs="仿宋"/>
                <w:b w:val="0"/>
                <w:bCs w:val="0"/>
                <w:i w:val="0"/>
                <w:iCs w:val="0"/>
                <w:color w:val="000000" w:themeColor="text1"/>
                <w:sz w:val="24"/>
                <w:szCs w:val="24"/>
                <w14:textFill>
                  <w14:solidFill>
                    <w14:schemeClr w14:val="tx1"/>
                  </w14:solidFill>
                </w14:textFill>
              </w:rPr>
              <w:t>厂界噪声预测结果见下表：</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表4-</w:t>
            </w:r>
            <w:r>
              <w:rPr>
                <w:rFonts w:hint="eastAsia" w:ascii="仿宋" w:hAnsi="仿宋" w:eastAsia="仿宋" w:cs="仿宋"/>
                <w:color w:val="000000" w:themeColor="text1"/>
                <w:sz w:val="21"/>
                <w:szCs w:val="21"/>
                <w:lang w:val="en-US" w:eastAsia="zh-CN"/>
                <w14:textFill>
                  <w14:solidFill>
                    <w14:schemeClr w14:val="tx1"/>
                  </w14:solidFill>
                </w14:textFill>
              </w:rPr>
              <w:t>6</w:t>
            </w:r>
            <w:r>
              <w:rPr>
                <w:rFonts w:hint="eastAsia" w:ascii="仿宋" w:hAnsi="仿宋" w:eastAsia="仿宋" w:cs="仿宋"/>
                <w:color w:val="000000" w:themeColor="text1"/>
                <w:sz w:val="21"/>
                <w:szCs w:val="21"/>
                <w14:textFill>
                  <w14:solidFill>
                    <w14:schemeClr w14:val="tx1"/>
                  </w14:solidFill>
                </w14:textFill>
              </w:rPr>
              <w:t xml:space="preserve">  </w:t>
            </w: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厂界噪声预测结果一览表  单位：dB（A）</w:t>
            </w:r>
          </w:p>
          <w:tbl>
            <w:tblPr>
              <w:tblStyle w:val="24"/>
              <w:tblW w:w="48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163"/>
              <w:gridCol w:w="1756"/>
              <w:gridCol w:w="1338"/>
              <w:gridCol w:w="1029"/>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6"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项目</w:t>
                  </w:r>
                </w:p>
              </w:tc>
              <w:tc>
                <w:tcPr>
                  <w:tcW w:w="764"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厂界</w:t>
                  </w:r>
                </w:p>
              </w:tc>
              <w:tc>
                <w:tcPr>
                  <w:tcW w:w="1154"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kern w:val="0"/>
                      <w:sz w:val="21"/>
                      <w:szCs w:val="21"/>
                      <w:lang w:val="en-US" w:eastAsia="zh-CN"/>
                      <w14:textFill>
                        <w14:solidFill>
                          <w14:schemeClr w14:val="tx1"/>
                        </w14:solidFill>
                      </w14:textFill>
                    </w:rPr>
                    <w:t>噪声预测值</w:t>
                  </w:r>
                </w:p>
              </w:tc>
              <w:tc>
                <w:tcPr>
                  <w:tcW w:w="1555" w:type="pct"/>
                  <w:gridSpan w:val="2"/>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标准值</w:t>
                  </w:r>
                </w:p>
              </w:tc>
              <w:tc>
                <w:tcPr>
                  <w:tcW w:w="888"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154"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879"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昼间</w:t>
                  </w:r>
                </w:p>
              </w:tc>
              <w:tc>
                <w:tcPr>
                  <w:tcW w:w="676" w:type="pct"/>
                  <w:noWrap w:val="0"/>
                  <w:vAlign w:val="center"/>
                </w:tcPr>
                <w:p>
                  <w:pPr>
                    <w:pStyle w:val="58"/>
                    <w:bidi w:val="0"/>
                    <w:rPr>
                      <w:rFonts w:hint="eastAsia" w:ascii="仿宋" w:hAnsi="仿宋" w:eastAsia="仿宋" w:cs="仿宋"/>
                      <w:color w:val="000000" w:themeColor="text1"/>
                      <w:sz w:val="21"/>
                      <w:szCs w:val="21"/>
                      <w:lang w:val="en-US"/>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夜间</w:t>
                  </w:r>
                </w:p>
              </w:tc>
              <w:tc>
                <w:tcPr>
                  <w:tcW w:w="888"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restar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开关站</w:t>
                  </w:r>
                </w:p>
              </w:tc>
              <w:tc>
                <w:tcPr>
                  <w:tcW w:w="76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东侧</w:t>
                  </w:r>
                </w:p>
              </w:tc>
              <w:tc>
                <w:tcPr>
                  <w:tcW w:w="1154"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34.83</w:t>
                  </w:r>
                </w:p>
              </w:tc>
              <w:tc>
                <w:tcPr>
                  <w:tcW w:w="879"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676"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45</w:t>
                  </w:r>
                </w:p>
              </w:tc>
              <w:tc>
                <w:tcPr>
                  <w:tcW w:w="88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南侧</w:t>
                  </w:r>
                </w:p>
              </w:tc>
              <w:tc>
                <w:tcPr>
                  <w:tcW w:w="1154"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33.67</w:t>
                  </w:r>
                </w:p>
              </w:tc>
              <w:tc>
                <w:tcPr>
                  <w:tcW w:w="879"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676"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45</w:t>
                  </w:r>
                </w:p>
              </w:tc>
              <w:tc>
                <w:tcPr>
                  <w:tcW w:w="88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西侧</w:t>
                  </w:r>
                </w:p>
              </w:tc>
              <w:tc>
                <w:tcPr>
                  <w:tcW w:w="1154"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37.75</w:t>
                  </w:r>
                </w:p>
              </w:tc>
              <w:tc>
                <w:tcPr>
                  <w:tcW w:w="879"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676"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45</w:t>
                  </w:r>
                </w:p>
              </w:tc>
              <w:tc>
                <w:tcPr>
                  <w:tcW w:w="88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4"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北侧</w:t>
                  </w:r>
                </w:p>
              </w:tc>
              <w:tc>
                <w:tcPr>
                  <w:tcW w:w="1154"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38.67</w:t>
                  </w:r>
                </w:p>
              </w:tc>
              <w:tc>
                <w:tcPr>
                  <w:tcW w:w="879"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55</w:t>
                  </w:r>
                </w:p>
              </w:tc>
              <w:tc>
                <w:tcPr>
                  <w:tcW w:w="676"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45</w:t>
                  </w:r>
                </w:p>
              </w:tc>
              <w:tc>
                <w:tcPr>
                  <w:tcW w:w="888"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注：水泵夜间不运行，风机、逆变器、箱变夜间噪声贡献值更低，夜间厂界噪声可稳定达标。</w:t>
                  </w:r>
                </w:p>
              </w:tc>
            </w:tr>
          </w:tbl>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根据预测结果分析，项目运营期</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各厂界噪声满足《工业企业厂界环境噪声排放标准》（GB12348-2008）1类标准要求。</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5.4声环境影响分析结论</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风机场区逆变器、箱变均置于集装箱式隔声舱体内，经隔声与距离衰减后，对周边声环境贡献值极小。</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开关站主变、配电装置、SVG等设备均选用低噪声产品，并采取基础减振、建筑隔声、厂界围墙隔声等措施，厂界噪声昼间、夜间均可稳定达标。</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项目水泵夜间不运行，夜间噪声影响进一步降低。</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项目场址位于山区，周边200m范围内无集中居民区、学校、医院等噪声敏感目标，声环境敏感度较低。</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综上，项目运营期噪声源强较低、治理措施可行，各厂界噪声均满足GB 12348-2008中1类区标准要求，对周边声环境影响较小。</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6、运营期固体废物环境影响分析</w:t>
            </w:r>
          </w:p>
          <w:p>
            <w:pPr>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6.1固体废物产生情况</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项目运营期固体废物分为一般固体废物和危险废物两类，均得到妥善收集、暂存与处置，实现100%合规处置，不对外环境造成二次污染。</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（1）生活垃圾</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w:t>
            </w:r>
            <w:r>
              <w:rPr>
                <w:rFonts w:hint="eastAsia" w:ascii="仿宋" w:hAnsi="仿宋" w:eastAsia="仿宋" w:cs="仿宋"/>
                <w:color w:val="000000" w:themeColor="text1"/>
                <w:sz w:val="24"/>
                <w:szCs w:val="24"/>
                <w:lang w:eastAsia="zh-CN"/>
                <w14:textFill>
                  <w14:solidFill>
                    <w14:schemeClr w14:val="tx1"/>
                  </w14:solidFill>
                </w14:textFill>
              </w:rPr>
              <w:t>运营期开关站</w:t>
            </w:r>
            <w:r>
              <w:rPr>
                <w:rFonts w:hint="eastAsia" w:ascii="仿宋" w:hAnsi="仿宋" w:eastAsia="仿宋" w:cs="仿宋"/>
                <w:color w:val="000000" w:themeColor="text1"/>
                <w:sz w:val="24"/>
                <w:szCs w:val="24"/>
                <w14:textFill>
                  <w14:solidFill>
                    <w14:schemeClr w14:val="tx1"/>
                  </w14:solidFill>
                </w14:textFill>
              </w:rPr>
              <w:t>内工作人员</w:t>
            </w:r>
            <w:r>
              <w:rPr>
                <w:rFonts w:hint="eastAsia" w:ascii="仿宋" w:hAnsi="仿宋" w:eastAsia="仿宋" w:cs="仿宋"/>
                <w:color w:val="000000" w:themeColor="text1"/>
                <w:sz w:val="24"/>
                <w:szCs w:val="24"/>
                <w:lang w:eastAsia="zh-CN"/>
                <w14:textFill>
                  <w14:solidFill>
                    <w14:schemeClr w14:val="tx1"/>
                  </w14:solidFill>
                </w14:textFill>
              </w:rPr>
              <w:t>拟为</w:t>
            </w:r>
            <w:r>
              <w:rPr>
                <w:rFonts w:hint="eastAsia" w:ascii="仿宋" w:hAnsi="仿宋" w:eastAsia="仿宋" w:cs="仿宋"/>
                <w:color w:val="000000" w:themeColor="text1"/>
                <w:sz w:val="24"/>
                <w:szCs w:val="24"/>
                <w14:textFill>
                  <w14:solidFill>
                    <w14:schemeClr w14:val="tx1"/>
                  </w14:solidFill>
                </w14:textFill>
              </w:rPr>
              <w:t>6人，生活垃圾的产生量按1kg/人·</w:t>
            </w:r>
            <w:r>
              <w:rPr>
                <w:rFonts w:hint="eastAsia" w:ascii="仿宋" w:hAnsi="仿宋" w:eastAsia="仿宋" w:cs="仿宋"/>
                <w:color w:val="000000" w:themeColor="text1"/>
                <w:sz w:val="24"/>
                <w:szCs w:val="24"/>
                <w:lang w:val="en-US" w:eastAsia="zh-CN"/>
                <w14:textFill>
                  <w14:solidFill>
                    <w14:schemeClr w14:val="tx1"/>
                  </w14:solidFill>
                </w14:textFill>
              </w:rPr>
              <w:t>d</w:t>
            </w:r>
            <w:r>
              <w:rPr>
                <w:rFonts w:hint="eastAsia" w:ascii="仿宋" w:hAnsi="仿宋" w:eastAsia="仿宋" w:cs="仿宋"/>
                <w:color w:val="000000" w:themeColor="text1"/>
                <w:sz w:val="24"/>
                <w:szCs w:val="24"/>
                <w14:textFill>
                  <w14:solidFill>
                    <w14:schemeClr w14:val="tx1"/>
                  </w14:solidFill>
                </w14:textFill>
              </w:rPr>
              <w:t>计，生活垃圾产生量为6kg/d</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2.19t/a。在</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内设置</w:t>
            </w:r>
            <w:r>
              <w:rPr>
                <w:rFonts w:hint="eastAsia" w:ascii="仿宋" w:hAnsi="仿宋" w:eastAsia="仿宋" w:cs="仿宋"/>
                <w:color w:val="000000" w:themeColor="text1"/>
                <w:sz w:val="24"/>
                <w:szCs w:val="24"/>
                <w:lang w:eastAsia="zh-CN"/>
                <w14:textFill>
                  <w14:solidFill>
                    <w14:schemeClr w14:val="tx1"/>
                  </w14:solidFill>
                </w14:textFill>
              </w:rPr>
              <w:t>若干</w:t>
            </w:r>
            <w:r>
              <w:rPr>
                <w:rFonts w:hint="eastAsia" w:ascii="仿宋" w:hAnsi="仿宋" w:eastAsia="仿宋" w:cs="仿宋"/>
                <w:color w:val="000000" w:themeColor="text1"/>
                <w:sz w:val="24"/>
                <w:szCs w:val="24"/>
                <w14:textFill>
                  <w14:solidFill>
                    <w14:schemeClr w14:val="tx1"/>
                  </w14:solidFill>
                </w14:textFill>
              </w:rPr>
              <w:t>带盖生活垃圾桶，用于收集</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运营产生的生活垃圾。收集后的生活垃圾</w:t>
            </w:r>
            <w:r>
              <w:rPr>
                <w:rFonts w:hint="eastAsia" w:ascii="仿宋" w:hAnsi="仿宋" w:eastAsia="仿宋" w:cs="仿宋"/>
                <w:color w:val="000000" w:themeColor="text1"/>
                <w:sz w:val="24"/>
                <w:szCs w:val="24"/>
                <w:lang w:eastAsia="zh-CN"/>
                <w14:textFill>
                  <w14:solidFill>
                    <w14:schemeClr w14:val="tx1"/>
                  </w14:solidFill>
                </w14:textFill>
              </w:rPr>
              <w:t>定期交</w:t>
            </w:r>
            <w:r>
              <w:rPr>
                <w:rFonts w:hint="eastAsia" w:ascii="仿宋" w:hAnsi="仿宋" w:eastAsia="仿宋" w:cs="仿宋"/>
                <w:color w:val="000000" w:themeColor="text1"/>
                <w:sz w:val="24"/>
                <w:szCs w:val="24"/>
                <w14:textFill>
                  <w14:solidFill>
                    <w14:schemeClr w14:val="tx1"/>
                  </w14:solidFill>
                </w14:textFill>
              </w:rPr>
              <w:t>由环卫部门</w:t>
            </w:r>
            <w:r>
              <w:rPr>
                <w:rFonts w:hint="eastAsia" w:ascii="仿宋" w:hAnsi="仿宋" w:eastAsia="仿宋" w:cs="仿宋"/>
                <w:color w:val="000000" w:themeColor="text1"/>
                <w:sz w:val="24"/>
                <w:szCs w:val="24"/>
                <w:lang w:eastAsia="zh-CN"/>
                <w14:textFill>
                  <w14:solidFill>
                    <w14:schemeClr w14:val="tx1"/>
                  </w14:solidFill>
                </w14:textFill>
              </w:rPr>
              <w:t>统一</w:t>
            </w:r>
            <w:r>
              <w:rPr>
                <w:rFonts w:hint="eastAsia" w:ascii="仿宋" w:hAnsi="仿宋" w:eastAsia="仿宋" w:cs="仿宋"/>
                <w:color w:val="000000" w:themeColor="text1"/>
                <w:sz w:val="24"/>
                <w:szCs w:val="24"/>
                <w14:textFill>
                  <w14:solidFill>
                    <w14:schemeClr w14:val="tx1"/>
                  </w14:solidFill>
                </w14:textFill>
              </w:rPr>
              <w:t>清运处置。</w:t>
            </w:r>
          </w:p>
          <w:p>
            <w:pPr>
              <w:spacing w:line="360" w:lineRule="auto"/>
              <w:ind w:firstLine="48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）化粪池、</w:t>
            </w:r>
            <w:r>
              <w:rPr>
                <w:rFonts w:hint="eastAsia" w:ascii="仿宋" w:hAnsi="仿宋" w:eastAsia="仿宋" w:cs="仿宋"/>
                <w:color w:val="000000" w:themeColor="text1"/>
                <w:sz w:val="24"/>
                <w:szCs w:val="24"/>
                <w:lang w:val="en-US" w:eastAsia="zh-CN"/>
                <w14:textFill>
                  <w14:solidFill>
                    <w14:schemeClr w14:val="tx1"/>
                  </w14:solidFill>
                </w14:textFill>
              </w:rPr>
              <w:t>污水处理站</w:t>
            </w:r>
            <w:r>
              <w:rPr>
                <w:rFonts w:hint="eastAsia" w:ascii="仿宋" w:hAnsi="仿宋" w:eastAsia="仿宋" w:cs="仿宋"/>
                <w:color w:val="000000" w:themeColor="text1"/>
                <w:sz w:val="24"/>
                <w:szCs w:val="24"/>
                <w:lang w:eastAsia="zh-CN"/>
                <w14:textFill>
                  <w14:solidFill>
                    <w14:schemeClr w14:val="tx1"/>
                  </w14:solidFill>
                </w14:textFill>
              </w:rPr>
              <w:t>污泥</w:t>
            </w:r>
          </w:p>
          <w:p>
            <w:pPr>
              <w:spacing w:line="360" w:lineRule="auto"/>
              <w:ind w:firstLine="48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根据可研报告相关内容，本项目拟设4m³化粪池及4m³/d接触氧化+MB一体化污水处理设备，运行过程产生少量剩余污泥。根据《集中式污染治理设施产排污系数手册（2010修订）》，污泥产生量按照16.7t/万t废水处理量计算，则项目化粪池污泥产生量为0.2</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lang w:eastAsia="zh-CN"/>
                <w14:textFill>
                  <w14:solidFill>
                    <w14:schemeClr w14:val="tx1"/>
                  </w14:solidFill>
                </w14:textFill>
              </w:rPr>
              <w:t>t/a，属于一般固体废物。污泥经沉淀浓缩后定期清掏，委托环卫或资质单位清运处置，不外排。</w:t>
            </w:r>
          </w:p>
          <w:p>
            <w:pPr>
              <w:spacing w:line="360" w:lineRule="auto"/>
              <w:ind w:firstLine="47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隔油池废油脂</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根据可研报告相关内容，本项目拟设1m³隔油池处理食堂含油废水，产生废油脂。食堂就餐6人，废油脂产生量按0.1kg/人・d计，则油水分离器废油脂产生量为0.6kg/d，0.219t/a。属于一般工业固废。废油脂密闭容器收集，定期委托有资质单位回收处置。</w:t>
            </w:r>
          </w:p>
          <w:p>
            <w:pPr>
              <w:spacing w:line="360" w:lineRule="auto"/>
              <w:ind w:firstLine="47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废变压器油、废矿物油、含油沾染物等危险废物</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①废变压器油</w:t>
            </w:r>
            <w:r>
              <w:rPr>
                <w:rFonts w:hint="eastAsia" w:ascii="仿宋" w:hAnsi="仿宋" w:eastAsia="仿宋" w:cs="仿宋"/>
                <w:color w:val="000000" w:themeColor="text1"/>
                <w:sz w:val="24"/>
                <w:szCs w:val="24"/>
                <w:lang w:eastAsia="zh-CN"/>
                <w14:textFill>
                  <w14:solidFill>
                    <w14:schemeClr w14:val="tx1"/>
                  </w14:solidFill>
                </w14:textFill>
              </w:rPr>
              <w:t>（危险废物，</w:t>
            </w:r>
            <w:r>
              <w:rPr>
                <w:rFonts w:hint="eastAsia" w:ascii="仿宋" w:hAnsi="仿宋" w:eastAsia="仿宋" w:cs="仿宋"/>
                <w:color w:val="000000" w:themeColor="text1"/>
                <w:sz w:val="24"/>
                <w:szCs w:val="24"/>
                <w:lang w:val="en-US" w:eastAsia="zh-CN"/>
                <w14:textFill>
                  <w14:solidFill>
                    <w14:schemeClr w14:val="tx1"/>
                  </w14:solidFill>
                </w14:textFill>
              </w:rPr>
              <w:t>HW08）</w:t>
            </w:r>
          </w:p>
          <w:p>
            <w:pPr>
              <w:spacing w:line="360" w:lineRule="auto"/>
              <w:ind w:firstLine="47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根据项目可研报告相关内容，项目共设1台20MW主变压器、4台5500kVA箱式变压器。</w:t>
            </w:r>
          </w:p>
          <w:p>
            <w:pPr>
              <w:spacing w:line="360" w:lineRule="auto"/>
              <w:ind w:firstLine="47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主变压器装油量约6.0t；单台箱变装油量约2.0t，4台共8.0t。</w:t>
            </w:r>
          </w:p>
          <w:p>
            <w:pPr>
              <w:spacing w:line="360" w:lineRule="auto"/>
              <w:ind w:firstLine="47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设备检修、故障、漏油情况下产生废变压器油，根据类比同类项目可知，项目</w:t>
            </w:r>
            <w:r>
              <w:rPr>
                <w:rFonts w:hint="eastAsia" w:ascii="仿宋" w:hAnsi="仿宋" w:eastAsia="仿宋" w:cs="仿宋"/>
                <w:color w:val="000000" w:themeColor="text1"/>
                <w:sz w:val="24"/>
                <w:szCs w:val="24"/>
                <w14:textFill>
                  <w14:solidFill>
                    <w14:schemeClr w14:val="tx1"/>
                  </w14:solidFill>
                </w14:textFill>
              </w:rPr>
              <w:t>主变事故废油量</w:t>
            </w:r>
            <w:r>
              <w:rPr>
                <w:rFonts w:hint="eastAsia" w:ascii="仿宋" w:hAnsi="仿宋" w:eastAsia="仿宋" w:cs="仿宋"/>
                <w:color w:val="000000" w:themeColor="text1"/>
                <w:sz w:val="24"/>
                <w:szCs w:val="24"/>
                <w:lang w:eastAsia="zh-CN"/>
                <w14:textFill>
                  <w14:solidFill>
                    <w14:schemeClr w14:val="tx1"/>
                  </w14:solidFill>
                </w14:textFill>
              </w:rPr>
              <w:t>拟产生</w:t>
            </w:r>
            <w:r>
              <w:rPr>
                <w:rFonts w:hint="eastAsia" w:ascii="仿宋" w:hAnsi="仿宋" w:eastAsia="仿宋" w:cs="仿宋"/>
                <w:color w:val="000000" w:themeColor="text1"/>
                <w:sz w:val="24"/>
                <w:szCs w:val="24"/>
                <w14:textFill>
                  <w14:solidFill>
                    <w14:schemeClr w14:val="tx1"/>
                  </w14:solidFill>
                </w14:textFill>
              </w:rPr>
              <w:t>0.6t/次</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单台箱变事故废油量</w:t>
            </w:r>
            <w:r>
              <w:rPr>
                <w:rFonts w:hint="eastAsia" w:ascii="仿宋" w:hAnsi="仿宋" w:eastAsia="仿宋" w:cs="仿宋"/>
                <w:color w:val="000000" w:themeColor="text1"/>
                <w:sz w:val="24"/>
                <w:szCs w:val="24"/>
                <w:lang w:eastAsia="zh-CN"/>
                <w14:textFill>
                  <w14:solidFill>
                    <w14:schemeClr w14:val="tx1"/>
                  </w14:solidFill>
                </w14:textFill>
              </w:rPr>
              <w:t>拟产生</w:t>
            </w:r>
            <w:r>
              <w:rPr>
                <w:rFonts w:hint="eastAsia" w:ascii="仿宋" w:hAnsi="仿宋" w:eastAsia="仿宋" w:cs="仿宋"/>
                <w:color w:val="000000" w:themeColor="text1"/>
                <w:sz w:val="24"/>
                <w:szCs w:val="24"/>
                <w14:textFill>
                  <w14:solidFill>
                    <w14:schemeClr w14:val="tx1"/>
                  </w14:solidFill>
                </w14:textFill>
              </w:rPr>
              <w:t>0.2t/次</w:t>
            </w:r>
          </w:p>
          <w:p>
            <w:pPr>
              <w:spacing w:line="360" w:lineRule="auto"/>
              <w:ind w:firstLine="47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根据《国家危险废物名录（2025年版）》，变压器事故废油属于HW08中900-220-08“变压器维护、更换和拆解过程中产生的废变压器油”，因此，箱式变压器事故废油和</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事故废油应严格按危险废物要求进行管理和处置。危险废物贮存设施应严格按照《危险废物贮存污染控制标准》（GB18597-2023）的要求进行设计并临时贮存废变压器油，</w:t>
            </w:r>
            <w:r>
              <w:rPr>
                <w:rFonts w:hint="eastAsia" w:ascii="仿宋" w:hAnsi="仿宋" w:eastAsia="仿宋" w:cs="仿宋"/>
                <w:color w:val="000000" w:themeColor="text1"/>
                <w:sz w:val="24"/>
                <w:szCs w:val="24"/>
                <w:lang w:val="en-US" w:eastAsia="zh-CN"/>
                <w14:textFill>
                  <w14:solidFill>
                    <w14:schemeClr w14:val="tx1"/>
                  </w14:solidFill>
                </w14:textFill>
              </w:rPr>
              <w:t>废变压器油采用密闭油桶收集，在危废暂存间暂存，定期委托有危险废物处置资质单位清运处置，执行转移联单制度。</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②废矿物油和含油沾染物</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工程运行过程中，</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设备、箱变等生产设施需要进行日常维护保养，过程中会产生废矿物油和含油沾染物，产生量约为0.5t/a。根据《国家危险废物名录（2025年版）》，废矿物油属于HW08中900-249-08“其他生产、销售、使用过程中产生的废矿物油及沾染矿物油的废弃包装物”。项目废矿物油采用油桶收集后于</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内分类暂存，定期委托有资质的单位清运处置，全过程防渗、防漏、防流失。</w:t>
            </w:r>
          </w:p>
          <w:p>
            <w:pPr>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6.2危险废物管理要求</w:t>
            </w:r>
          </w:p>
          <w:p>
            <w:pPr>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项目拟在</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内设置1间10m</w:t>
            </w:r>
            <w:r>
              <w:rPr>
                <w:rFonts w:hint="eastAsia" w:ascii="仿宋" w:hAnsi="仿宋" w:eastAsia="仿宋" w:cs="仿宋"/>
                <w:color w:val="000000" w:themeColor="text1"/>
                <w:sz w:val="24"/>
                <w:szCs w:val="24"/>
                <w:vertAlign w:val="superscript"/>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的</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，用于暂存项目运营产生的废矿物油、废变压器油、含油沾染物等危险废物。</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根据《危险废物贮存污染控制标准》（GB18597-2023）要求中对危险废物暂存间的建设要求，项目建设单位按照以下几点对危险废物暂存间进行建设及管理：</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①危险废物暂存间的防渗标准应参照《危险废物贮存污染控制标准》（GB18597-2023）的要求进行防渗设计建设，即危险废物暂存间内基础必须防渗，基础防渗层至少1m厚黏土层，防渗系数≤10</w:t>
            </w:r>
            <w:r>
              <w:rPr>
                <w:rFonts w:hint="eastAsia" w:ascii="仿宋" w:hAnsi="仿宋" w:eastAsia="仿宋" w:cs="仿宋"/>
                <w:color w:val="000000" w:themeColor="text1"/>
                <w:sz w:val="24"/>
                <w:szCs w:val="24"/>
                <w:vertAlign w:val="superscript"/>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cm/s，人工防渗层材料厚度不小于2mm，防渗系数≤10</w:t>
            </w:r>
            <w:r>
              <w:rPr>
                <w:rFonts w:hint="eastAsia" w:ascii="仿宋" w:hAnsi="仿宋" w:eastAsia="仿宋" w:cs="仿宋"/>
                <w:color w:val="000000" w:themeColor="text1"/>
                <w:sz w:val="24"/>
                <w:szCs w:val="24"/>
                <w:vertAlign w:val="superscript"/>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cm/s。</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②危险废物暂存间要有安全照明设施和观察窗口。</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③危险废物的盛装容器应严格执行国家标准，应保证完好并具有明显标志。</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④危险废物暂存间内禁止存放其他杂物。</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⑤危险废物暂存过程中要防风、防雨、防晒、防渗漏。</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⑥应制定固体废物管理制度，建立危险废物档案。安排专人专职对危险废物收集、暂存等过程进行管理。转移危险废物须严格执行转移联单制度。</w:t>
            </w:r>
          </w:p>
          <w:p>
            <w:pPr>
              <w:adjustRightInd w:val="0"/>
              <w:snapToGrid w:val="0"/>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在项目运营过程中</w:t>
            </w:r>
            <w:r>
              <w:rPr>
                <w:rFonts w:hint="eastAsia" w:ascii="仿宋" w:hAnsi="仿宋" w:eastAsia="仿宋" w:cs="仿宋"/>
                <w:color w:val="000000" w:themeColor="text1"/>
                <w:sz w:val="24"/>
                <w:szCs w:val="24"/>
                <w14:textFill>
                  <w14:solidFill>
                    <w14:schemeClr w14:val="tx1"/>
                  </w14:solidFill>
                </w14:textFill>
              </w:rPr>
              <w:t>建设单位按照以上要求严格落实各项环保措施，在今后运营过程中严格进行管理，危险废物的暂存可满足《危险废物贮存污染控制标准》（GB18597-2023）要求，处置率可达100%，对周围环境影响</w:t>
            </w:r>
            <w:r>
              <w:rPr>
                <w:rFonts w:hint="eastAsia" w:ascii="仿宋" w:hAnsi="仿宋" w:eastAsia="仿宋" w:cs="仿宋"/>
                <w:color w:val="000000" w:themeColor="text1"/>
                <w:sz w:val="24"/>
                <w:szCs w:val="24"/>
                <w:lang w:eastAsia="zh-CN"/>
                <w14:textFill>
                  <w14:solidFill>
                    <w14:schemeClr w14:val="tx1"/>
                  </w14:solidFill>
                </w14:textFill>
              </w:rPr>
              <w:t>较小</w:t>
            </w:r>
            <w:r>
              <w:rPr>
                <w:rFonts w:hint="eastAsia" w:ascii="仿宋" w:hAnsi="仿宋" w:eastAsia="仿宋" w:cs="仿宋"/>
                <w:color w:val="000000" w:themeColor="text1"/>
                <w:sz w:val="24"/>
                <w:szCs w:val="24"/>
                <w14:textFill>
                  <w14:solidFill>
                    <w14:schemeClr w14:val="tx1"/>
                  </w14:solidFill>
                </w14:textFill>
              </w:rPr>
              <w:t>。</w:t>
            </w:r>
          </w:p>
          <w:p>
            <w:pPr>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6.3一般固废管理要求</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项目拟在</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内设置1间20m</w:t>
            </w:r>
            <w:r>
              <w:rPr>
                <w:rFonts w:hint="eastAsia" w:ascii="仿宋" w:hAnsi="仿宋" w:eastAsia="仿宋" w:cs="仿宋"/>
                <w:color w:val="000000" w:themeColor="text1"/>
                <w:sz w:val="24"/>
                <w:szCs w:val="24"/>
                <w:vertAlign w:val="superscript"/>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的一般固废暂存间，用于暂存</w:t>
            </w:r>
            <w:r>
              <w:rPr>
                <w:rFonts w:hint="eastAsia" w:ascii="仿宋" w:hAnsi="仿宋" w:eastAsia="仿宋" w:cs="仿宋"/>
                <w:color w:val="000000" w:themeColor="text1"/>
                <w:sz w:val="24"/>
                <w:szCs w:val="24"/>
                <w:lang w:val="en-US" w:eastAsia="zh-CN"/>
                <w14:textFill>
                  <w14:solidFill>
                    <w14:schemeClr w14:val="tx1"/>
                  </w14:solidFill>
                </w14:textFill>
              </w:rPr>
              <w:t>报废备件、废旧包装等一般固体废物</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bCs/>
                <w:color w:val="000000" w:themeColor="text1"/>
                <w:sz w:val="24"/>
                <w:szCs w:val="24"/>
                <w14:textFill>
                  <w14:solidFill>
                    <w14:schemeClr w14:val="tx1"/>
                  </w14:solidFill>
                </w14:textFill>
              </w:rPr>
              <w:t>根据《一般工业固体废物贮存和填埋污染控制标准》（GB18599-2020）要求，对项目产生的一般固废管理提出如下要求：</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①</w:t>
            </w:r>
            <w:r>
              <w:rPr>
                <w:rFonts w:hint="eastAsia" w:ascii="仿宋" w:hAnsi="仿宋" w:eastAsia="仿宋" w:cs="仿宋"/>
                <w:color w:val="000000" w:themeColor="text1"/>
                <w:sz w:val="24"/>
                <w:szCs w:val="24"/>
                <w14:textFill>
                  <w14:solidFill>
                    <w14:schemeClr w14:val="tx1"/>
                  </w14:solidFill>
                </w14:textFill>
              </w:rPr>
              <w:t>一般固废暂存间禁止危险废物和生活垃圾混入。</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②一般固废暂存间地面应进行硬化并</w:t>
            </w:r>
            <w:r>
              <w:rPr>
                <w:rFonts w:hint="eastAsia" w:ascii="仿宋" w:hAnsi="仿宋" w:eastAsia="仿宋" w:cs="仿宋"/>
                <w:bCs/>
                <w:color w:val="000000" w:themeColor="text1"/>
                <w:sz w:val="24"/>
                <w:szCs w:val="24"/>
                <w14:textFill>
                  <w14:solidFill>
                    <w14:schemeClr w14:val="tx1"/>
                  </w14:solidFill>
                </w14:textFill>
              </w:rPr>
              <w:t>进行防渗处理，K≤1.0×10</w:t>
            </w:r>
            <w:r>
              <w:rPr>
                <w:rFonts w:hint="eastAsia" w:ascii="仿宋" w:hAnsi="仿宋" w:eastAsia="仿宋" w:cs="仿宋"/>
                <w:bCs/>
                <w:color w:val="000000" w:themeColor="text1"/>
                <w:sz w:val="24"/>
                <w:szCs w:val="24"/>
                <w:vertAlign w:val="superscript"/>
                <w14:textFill>
                  <w14:solidFill>
                    <w14:schemeClr w14:val="tx1"/>
                  </w14:solidFill>
                </w14:textFill>
              </w:rPr>
              <w:t>-</w:t>
            </w:r>
            <w:r>
              <w:rPr>
                <w:rFonts w:hint="eastAsia" w:ascii="仿宋" w:hAnsi="仿宋" w:eastAsia="仿宋" w:cs="仿宋"/>
                <w:bCs/>
                <w:color w:val="000000" w:themeColor="text1"/>
                <w:sz w:val="24"/>
                <w:szCs w:val="24"/>
                <w:vertAlign w:val="superscript"/>
                <w:lang w:val="en-US" w:eastAsia="zh-CN"/>
                <w14:textFill>
                  <w14:solidFill>
                    <w14:schemeClr w14:val="tx1"/>
                  </w14:solidFill>
                </w14:textFill>
              </w:rPr>
              <w:t>7</w:t>
            </w:r>
            <w:r>
              <w:rPr>
                <w:rFonts w:hint="eastAsia" w:ascii="仿宋" w:hAnsi="仿宋" w:eastAsia="仿宋" w:cs="仿宋"/>
                <w:bCs/>
                <w:color w:val="000000" w:themeColor="text1"/>
                <w:sz w:val="24"/>
                <w:szCs w:val="24"/>
                <w14:textFill>
                  <w14:solidFill>
                    <w14:schemeClr w14:val="tx1"/>
                  </w14:solidFill>
                </w14:textFill>
              </w:rPr>
              <w:t>cm/s，</w:t>
            </w:r>
            <w:r>
              <w:rPr>
                <w:rFonts w:hint="eastAsia" w:ascii="仿宋" w:hAnsi="仿宋" w:eastAsia="仿宋" w:cs="仿宋"/>
                <w:color w:val="000000" w:themeColor="text1"/>
                <w:sz w:val="24"/>
                <w:szCs w:val="24"/>
                <w14:textFill>
                  <w14:solidFill>
                    <w14:schemeClr w14:val="tx1"/>
                  </w14:solidFill>
                </w14:textFill>
              </w:rPr>
              <w:t>采取防晒、防雨措施，设置环保图形标志。</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③应制定管理计划，</w:t>
            </w:r>
            <w:r>
              <w:rPr>
                <w:rFonts w:hint="eastAsia" w:ascii="仿宋" w:hAnsi="仿宋" w:eastAsia="仿宋" w:cs="仿宋"/>
                <w:color w:val="000000" w:themeColor="text1"/>
                <w:sz w:val="24"/>
                <w:szCs w:val="24"/>
                <w14:textFill>
                  <w14:solidFill>
                    <w14:schemeClr w14:val="tx1"/>
                  </w14:solidFill>
                </w14:textFill>
              </w:rPr>
              <w:t>一般固废暂存间</w:t>
            </w:r>
            <w:r>
              <w:rPr>
                <w:rFonts w:hint="eastAsia" w:ascii="仿宋" w:hAnsi="仿宋" w:eastAsia="仿宋" w:cs="仿宋"/>
                <w:bCs/>
                <w:color w:val="000000" w:themeColor="text1"/>
                <w:sz w:val="24"/>
                <w:szCs w:val="24"/>
                <w14:textFill>
                  <w14:solidFill>
                    <w14:schemeClr w14:val="tx1"/>
                  </w14:solidFill>
                </w14:textFill>
              </w:rPr>
              <w:t>管理人员应定期参加企业的岗位培训。</w:t>
            </w:r>
          </w:p>
          <w:p>
            <w:pPr>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6.4固体废物环境影响分析结论</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项目运营期各类固体废物均分类收集、规范暂存、合规处置，实现无害化、减量化、资源化：</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1、</w:t>
            </w:r>
            <w:r>
              <w:rPr>
                <w:rFonts w:hint="eastAsia" w:ascii="仿宋" w:hAnsi="仿宋" w:eastAsia="仿宋" w:cs="仿宋"/>
                <w:bCs/>
                <w:color w:val="000000" w:themeColor="text1"/>
                <w:sz w:val="24"/>
                <w:szCs w:val="24"/>
                <w14:textFill>
                  <w14:solidFill>
                    <w14:schemeClr w14:val="tx1"/>
                  </w14:solidFill>
                </w14:textFill>
              </w:rPr>
              <w:t>生活垃圾、污泥、餐厨垃圾、废油脂均交由对应资质单位处置，不外排；</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2、</w:t>
            </w:r>
            <w:r>
              <w:rPr>
                <w:rFonts w:hint="eastAsia" w:ascii="仿宋" w:hAnsi="仿宋" w:eastAsia="仿宋" w:cs="仿宋"/>
                <w:bCs/>
                <w:color w:val="000000" w:themeColor="text1"/>
                <w:sz w:val="24"/>
                <w:szCs w:val="24"/>
                <w14:textFill>
                  <w14:solidFill>
                    <w14:schemeClr w14:val="tx1"/>
                  </w14:solidFill>
                </w14:textFill>
              </w:rPr>
              <w:t>危险废物规范暂存、密闭转运、资质处置，满足GB18597-2023要求；</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3、</w:t>
            </w:r>
            <w:r>
              <w:rPr>
                <w:rFonts w:hint="eastAsia" w:ascii="仿宋" w:hAnsi="仿宋" w:eastAsia="仿宋" w:cs="仿宋"/>
                <w:bCs/>
                <w:color w:val="000000" w:themeColor="text1"/>
                <w:sz w:val="24"/>
                <w:szCs w:val="24"/>
                <w14:textFill>
                  <w14:solidFill>
                    <w14:schemeClr w14:val="tx1"/>
                  </w14:solidFill>
                </w14:textFill>
              </w:rPr>
              <w:t>事故油池、集油池、防渗措施完善，可有效防范土壤与地下水污染；</w:t>
            </w:r>
          </w:p>
          <w:p>
            <w:pPr>
              <w:spacing w:line="360" w:lineRule="auto"/>
              <w:ind w:firstLine="480"/>
              <w:jc w:val="both"/>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lang w:val="en-US" w:eastAsia="zh-CN"/>
                <w14:textFill>
                  <w14:solidFill>
                    <w14:schemeClr w14:val="tx1"/>
                  </w14:solidFill>
                </w14:textFill>
              </w:rPr>
              <w:t>4、</w:t>
            </w:r>
            <w:r>
              <w:rPr>
                <w:rFonts w:hint="eastAsia" w:ascii="仿宋" w:hAnsi="仿宋" w:eastAsia="仿宋" w:cs="仿宋"/>
                <w:bCs/>
                <w:color w:val="000000" w:themeColor="text1"/>
                <w:sz w:val="24"/>
                <w:szCs w:val="24"/>
                <w14:textFill>
                  <w14:solidFill>
                    <w14:schemeClr w14:val="tx1"/>
                  </w14:solidFill>
                </w14:textFill>
              </w:rPr>
              <w:t>固体废物全过程闭环管理，对周边环境无明显不利影响，环境风险可控。</w:t>
            </w:r>
          </w:p>
          <w:p>
            <w:pPr>
              <w:spacing w:line="360" w:lineRule="auto"/>
              <w:ind w:firstLine="480"/>
              <w:jc w:val="both"/>
              <w:rPr>
                <w:rFonts w:hint="eastAsia" w:ascii="仿宋" w:hAnsi="仿宋" w:eastAsia="仿宋" w:cs="仿宋"/>
                <w:bCs/>
                <w:color w:val="000000" w:themeColor="text1"/>
                <w:sz w:val="24"/>
                <w:szCs w:val="24"/>
                <w:lang w:val="en-US" w:eastAsia="zh-CN"/>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综上所述，本项目产生的固体废物严格按照上述要求进行处理处置后，均可以得到100%处置，</w:t>
            </w:r>
            <w:r>
              <w:rPr>
                <w:rFonts w:hint="eastAsia" w:ascii="仿宋" w:hAnsi="仿宋" w:eastAsia="仿宋" w:cs="仿宋"/>
                <w:bCs/>
                <w:color w:val="000000" w:themeColor="text1"/>
                <w:sz w:val="24"/>
                <w:szCs w:val="24"/>
                <w:lang w:val="en-US" w:eastAsia="zh-CN"/>
                <w14:textFill>
                  <w14:solidFill>
                    <w14:schemeClr w14:val="tx1"/>
                  </w14:solidFill>
                </w14:textFill>
              </w:rPr>
              <w:t>不会造成环境污染及生态影响</w:t>
            </w:r>
            <w:r>
              <w:rPr>
                <w:rFonts w:hint="eastAsia" w:ascii="仿宋" w:hAnsi="仿宋" w:eastAsia="仿宋" w:cs="仿宋"/>
                <w:bCs/>
                <w:color w:val="000000" w:themeColor="text1"/>
                <w:sz w:val="24"/>
                <w:szCs w:val="24"/>
                <w14:textFill>
                  <w14:solidFill>
                    <w14:schemeClr w14:val="tx1"/>
                  </w14:solidFill>
                </w14:textFill>
              </w:rPr>
              <w:t>对周围环境影响较小，亦不会造成二次污染。</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、环境风险影响分析</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.1环境风险调查</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根据《建设项目环境风险评价技术导则》（</w:t>
            </w:r>
            <w:r>
              <w:rPr>
                <w:rFonts w:hint="default" w:ascii="仿宋" w:hAnsi="仿宋" w:eastAsia="仿宋" w:cs="仿宋"/>
                <w:color w:val="000000" w:themeColor="text1"/>
                <w:sz w:val="24"/>
                <w:szCs w:val="24"/>
                <w:lang w:val="en-US" w:eastAsia="zh-CN"/>
                <w14:textFill>
                  <w14:solidFill>
                    <w14:schemeClr w14:val="tx1"/>
                  </w14:solidFill>
                </w14:textFill>
              </w:rPr>
              <w:t>HJ169-2018</w:t>
            </w:r>
            <w:r>
              <w:rPr>
                <w:rFonts w:hint="eastAsia" w:ascii="仿宋" w:hAnsi="仿宋" w:eastAsia="仿宋" w:cs="仿宋"/>
                <w:color w:val="000000" w:themeColor="text1"/>
                <w:sz w:val="24"/>
                <w:szCs w:val="24"/>
                <w:lang w:val="en-US" w:eastAsia="zh-CN"/>
                <w14:textFill>
                  <w14:solidFill>
                    <w14:schemeClr w14:val="tx1"/>
                  </w14:solidFill>
                </w14:textFill>
              </w:rPr>
              <w:t>）附录</w:t>
            </w:r>
            <w:r>
              <w:rPr>
                <w:rFonts w:hint="default" w:ascii="仿宋" w:hAnsi="仿宋" w:eastAsia="仿宋" w:cs="仿宋"/>
                <w:color w:val="000000" w:themeColor="text1"/>
                <w:sz w:val="24"/>
                <w:szCs w:val="24"/>
                <w:lang w:val="en-US" w:eastAsia="zh-CN"/>
                <w14:textFill>
                  <w14:solidFill>
                    <w14:schemeClr w14:val="tx1"/>
                  </w14:solidFill>
                </w14:textFill>
              </w:rPr>
              <w:t>B</w:t>
            </w:r>
            <w:r>
              <w:rPr>
                <w:rFonts w:hint="eastAsia" w:ascii="仿宋" w:hAnsi="仿宋" w:eastAsia="仿宋" w:cs="仿宋"/>
                <w:color w:val="000000" w:themeColor="text1"/>
                <w:sz w:val="24"/>
                <w:szCs w:val="24"/>
                <w:lang w:val="en-US" w:eastAsia="zh-CN"/>
                <w14:textFill>
                  <w14:solidFill>
                    <w14:schemeClr w14:val="tx1"/>
                  </w14:solidFill>
                </w14:textFill>
              </w:rPr>
              <w:t>，结合现场踏勘以及建设单位提供信息及根据项目使用原辅料，生产工艺及机械设备的情况。项目</w:t>
            </w:r>
            <w:r>
              <w:rPr>
                <w:rFonts w:hint="eastAsia" w:ascii="仿宋" w:hAnsi="仿宋" w:eastAsia="仿宋" w:cs="仿宋"/>
                <w:color w:val="000000" w:themeColor="text1"/>
                <w:sz w:val="24"/>
                <w:szCs w:val="24"/>
                <w14:textFill>
                  <w14:solidFill>
                    <w14:schemeClr w14:val="tx1"/>
                  </w14:solidFill>
                </w14:textFill>
              </w:rPr>
              <w:t>运营期涉及的主要环境风险物质为变压器油、废变压器油、废矿物油及含油沾染物，均属于《国家危险废物名录（2025年版）》HW08废矿物油类。</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主变的废变压器油产生量为</w:t>
            </w:r>
            <w:r>
              <w:rPr>
                <w:rFonts w:hint="eastAsia" w:ascii="仿宋" w:hAnsi="仿宋" w:eastAsia="仿宋" w:cs="仿宋"/>
                <w:color w:val="000000" w:themeColor="text1"/>
                <w:sz w:val="24"/>
                <w:szCs w:val="24"/>
                <w:lang w:val="en-US" w:eastAsia="zh-CN"/>
                <w14:textFill>
                  <w14:solidFill>
                    <w14:schemeClr w14:val="tx1"/>
                  </w14:solidFill>
                </w14:textFill>
              </w:rPr>
              <w:t>0.6</w:t>
            </w:r>
            <w:r>
              <w:rPr>
                <w:rFonts w:hint="eastAsia" w:ascii="仿宋" w:hAnsi="仿宋" w:eastAsia="仿宋" w:cs="仿宋"/>
                <w:color w:val="000000" w:themeColor="text1"/>
                <w:sz w:val="24"/>
                <w:szCs w:val="24"/>
                <w14:textFill>
                  <w14:solidFill>
                    <w14:schemeClr w14:val="tx1"/>
                  </w14:solidFill>
                </w14:textFill>
              </w:rPr>
              <w:t>t</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次，1台箱式变压器的废变压器油最大产生量为0.2t/次，</w:t>
            </w:r>
            <w:r>
              <w:rPr>
                <w:rFonts w:hint="eastAsia" w:ascii="仿宋" w:hAnsi="仿宋" w:eastAsia="仿宋" w:cs="仿宋"/>
                <w:color w:val="000000" w:themeColor="text1"/>
                <w:sz w:val="24"/>
                <w:szCs w:val="24"/>
                <w:lang w:val="en-US" w:eastAsia="zh-CN"/>
                <w14:textFill>
                  <w14:solidFill>
                    <w14:schemeClr w14:val="tx1"/>
                  </w14:solidFill>
                </w14:textFill>
              </w:rPr>
              <w:t>4台共产生0.8t</w:t>
            </w:r>
            <w:r>
              <w:rPr>
                <w:rFonts w:hint="eastAsia" w:ascii="仿宋" w:hAnsi="仿宋" w:eastAsia="仿宋" w:cs="仿宋"/>
                <w:color w:val="000000" w:themeColor="text1"/>
                <w:sz w:val="24"/>
                <w:szCs w:val="24"/>
                <w14:textFill>
                  <w14:solidFill>
                    <w14:schemeClr w14:val="tx1"/>
                  </w14:solidFill>
                </w14:textFill>
              </w:rPr>
              <w:t>。根据《建设项目环境风险评价技术导则》（HJ169-2018）表B.1突发环境事件风险物质及临界量，项目风险物质情况及临界量见下表：</w:t>
            </w:r>
          </w:p>
          <w:p>
            <w:pPr>
              <w:pStyle w:val="57"/>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表4-7  风险物质情况及临界量一览表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2242"/>
              <w:gridCol w:w="1048"/>
              <w:gridCol w:w="1108"/>
              <w:gridCol w:w="1275"/>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序号</w:t>
                  </w:r>
                </w:p>
              </w:tc>
              <w:tc>
                <w:tcPr>
                  <w:tcW w:w="1435"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风险物质</w:t>
                  </w:r>
                </w:p>
              </w:tc>
              <w:tc>
                <w:tcPr>
                  <w:tcW w:w="671"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储存量q（t）</w:t>
                  </w:r>
                </w:p>
              </w:tc>
              <w:tc>
                <w:tcPr>
                  <w:tcW w:w="709"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临界量Q（t）</w:t>
                  </w:r>
                </w:p>
              </w:tc>
              <w:tc>
                <w:tcPr>
                  <w:tcW w:w="816"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储存设施</w:t>
                  </w:r>
                </w:p>
              </w:tc>
              <w:tc>
                <w:tcPr>
                  <w:tcW w:w="974"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1435"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废变压器油</w:t>
                  </w:r>
                </w:p>
              </w:tc>
              <w:tc>
                <w:tcPr>
                  <w:tcW w:w="671" w:type="pct"/>
                  <w:noWrap w:val="0"/>
                  <w:vAlign w:val="center"/>
                </w:tcPr>
                <w:p>
                  <w:pPr>
                    <w:pStyle w:val="58"/>
                    <w:bidi w:val="0"/>
                    <w:spacing w:line="360" w:lineRule="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1.4</w:t>
                  </w:r>
                </w:p>
              </w:tc>
              <w:tc>
                <w:tcPr>
                  <w:tcW w:w="709"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2500</w:t>
                  </w:r>
                </w:p>
              </w:tc>
              <w:tc>
                <w:tcPr>
                  <w:tcW w:w="816"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带盖铁桶</w:t>
                  </w:r>
                </w:p>
              </w:tc>
              <w:tc>
                <w:tcPr>
                  <w:tcW w:w="974" w:type="pct"/>
                  <w:noWrap w:val="0"/>
                  <w:vAlign w:val="center"/>
                </w:tcPr>
                <w:p>
                  <w:pPr>
                    <w:pStyle w:val="58"/>
                    <w:bidi w:val="0"/>
                    <w:spacing w:line="360" w:lineRule="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危险废物暂存间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1435"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主变压器的变压器油</w:t>
                  </w:r>
                </w:p>
              </w:tc>
              <w:tc>
                <w:tcPr>
                  <w:tcW w:w="671" w:type="pct"/>
                  <w:noWrap w:val="0"/>
                  <w:vAlign w:val="center"/>
                </w:tcPr>
                <w:p>
                  <w:pPr>
                    <w:pStyle w:val="58"/>
                    <w:bidi w:val="0"/>
                    <w:spacing w:line="360" w:lineRule="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w:t>
                  </w:r>
                </w:p>
              </w:tc>
              <w:tc>
                <w:tcPr>
                  <w:tcW w:w="709"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2500</w:t>
                  </w:r>
                </w:p>
              </w:tc>
              <w:tc>
                <w:tcPr>
                  <w:tcW w:w="816"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主变压器</w:t>
                  </w:r>
                </w:p>
              </w:tc>
              <w:tc>
                <w:tcPr>
                  <w:tcW w:w="974"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1435"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箱式变压器的变压器油</w:t>
                  </w:r>
                </w:p>
              </w:tc>
              <w:tc>
                <w:tcPr>
                  <w:tcW w:w="671" w:type="pct"/>
                  <w:noWrap w:val="0"/>
                  <w:vAlign w:val="center"/>
                </w:tcPr>
                <w:p>
                  <w:pPr>
                    <w:pStyle w:val="58"/>
                    <w:bidi w:val="0"/>
                    <w:spacing w:line="360" w:lineRule="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8</w:t>
                  </w:r>
                </w:p>
              </w:tc>
              <w:tc>
                <w:tcPr>
                  <w:tcW w:w="709"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2500</w:t>
                  </w:r>
                </w:p>
              </w:tc>
              <w:tc>
                <w:tcPr>
                  <w:tcW w:w="816"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箱式变压器</w:t>
                  </w:r>
                </w:p>
              </w:tc>
              <w:tc>
                <w:tcPr>
                  <w:tcW w:w="974"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箱式变压器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1435"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废矿物油</w:t>
                  </w:r>
                </w:p>
              </w:tc>
              <w:tc>
                <w:tcPr>
                  <w:tcW w:w="671"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w:t>
                  </w:r>
                </w:p>
              </w:tc>
              <w:tc>
                <w:tcPr>
                  <w:tcW w:w="709"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2500</w:t>
                  </w:r>
                </w:p>
              </w:tc>
              <w:tc>
                <w:tcPr>
                  <w:tcW w:w="816" w:type="pct"/>
                  <w:noWrap w:val="0"/>
                  <w:vAlign w:val="center"/>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带盖铁桶</w:t>
                  </w:r>
                </w:p>
              </w:tc>
              <w:tc>
                <w:tcPr>
                  <w:tcW w:w="974" w:type="pct"/>
                  <w:noWrap w:val="0"/>
                  <w:vAlign w:val="center"/>
                </w:tcPr>
                <w:p>
                  <w:pPr>
                    <w:pStyle w:val="58"/>
                    <w:bidi w:val="0"/>
                    <w:spacing w:line="360" w:lineRule="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危险废物暂存间</w:t>
                  </w:r>
                </w:p>
              </w:tc>
            </w:tr>
          </w:tbl>
          <w:p>
            <w:pPr>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.2风险潜势初判</w:t>
            </w:r>
          </w:p>
          <w:p>
            <w:pPr>
              <w:wordWrap/>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根据《建设项目环境风险评价技术导则》（HJ/T169-2018）的要求，计算所涉及的每种危险物质在厂界内的存在量与附录B中对应临界量的比值</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color w:val="000000" w:themeColor="text1"/>
                <w:sz w:val="24"/>
                <w:szCs w:val="24"/>
                <w14:textFill>
                  <w14:solidFill>
                    <w14:schemeClr w14:val="tx1"/>
                  </w14:solidFill>
                </w14:textFill>
              </w:rPr>
              <w:t>。当存在多种危险物质时，则按式计算物质总量与其临界量比值。</w:t>
            </w:r>
          </w:p>
          <w:p>
            <w:pPr>
              <w:spacing w:line="360" w:lineRule="auto"/>
              <w:ind w:firstLine="480" w:firstLineChars="200"/>
              <w:rPr>
                <w:rFonts w:hint="eastAsia" w:ascii="仿宋" w:hAnsi="仿宋" w:eastAsia="仿宋" w:cs="仿宋"/>
                <w:bCs/>
                <w:i/>
                <w:iCs/>
                <w:color w:val="000000" w:themeColor="text1"/>
                <w:kern w:val="0"/>
                <w:sz w:val="24"/>
                <w:szCs w:val="24"/>
                <w14:textFill>
                  <w14:solidFill>
                    <w14:schemeClr w14:val="tx1"/>
                  </w14:solidFill>
                </w14:textFill>
              </w:rPr>
            </w:pPr>
            <w:r>
              <w:rPr>
                <w:rFonts w:hint="eastAsia" w:ascii="仿宋" w:hAnsi="仿宋" w:eastAsia="仿宋" w:cs="仿宋"/>
                <w:bCs/>
                <w:i/>
                <w:iCs/>
                <w:color w:val="000000" w:themeColor="text1"/>
                <w:kern w:val="0"/>
                <w:sz w:val="24"/>
                <w:szCs w:val="24"/>
                <w14:textFill>
                  <w14:solidFill>
                    <w14:schemeClr w14:val="tx1"/>
                  </w14:solidFill>
                </w14:textFill>
              </w:rPr>
              <w:t>Q=q</w:t>
            </w:r>
            <w:r>
              <w:rPr>
                <w:rFonts w:hint="eastAsia" w:ascii="仿宋" w:hAnsi="仿宋" w:eastAsia="仿宋" w:cs="仿宋"/>
                <w:bCs/>
                <w:i/>
                <w:iCs/>
                <w:color w:val="000000" w:themeColor="text1"/>
                <w:kern w:val="0"/>
                <w:sz w:val="24"/>
                <w:szCs w:val="24"/>
                <w:vertAlign w:val="subscript"/>
                <w14:textFill>
                  <w14:solidFill>
                    <w14:schemeClr w14:val="tx1"/>
                  </w14:solidFill>
                </w14:textFill>
              </w:rPr>
              <w:t>1</w:t>
            </w:r>
            <w:r>
              <w:rPr>
                <w:rFonts w:hint="eastAsia" w:ascii="仿宋" w:hAnsi="仿宋" w:eastAsia="仿宋" w:cs="仿宋"/>
                <w:bCs/>
                <w:i/>
                <w:iCs/>
                <w:color w:val="000000" w:themeColor="text1"/>
                <w:kern w:val="0"/>
                <w:sz w:val="24"/>
                <w:szCs w:val="24"/>
                <w14:textFill>
                  <w14:solidFill>
                    <w14:schemeClr w14:val="tx1"/>
                  </w14:solidFill>
                </w14:textFill>
              </w:rPr>
              <w:t>/Q</w:t>
            </w:r>
            <w:r>
              <w:rPr>
                <w:rFonts w:hint="eastAsia" w:ascii="仿宋" w:hAnsi="仿宋" w:eastAsia="仿宋" w:cs="仿宋"/>
                <w:bCs/>
                <w:i/>
                <w:iCs/>
                <w:color w:val="000000" w:themeColor="text1"/>
                <w:kern w:val="0"/>
                <w:sz w:val="24"/>
                <w:szCs w:val="24"/>
                <w:vertAlign w:val="subscript"/>
                <w14:textFill>
                  <w14:solidFill>
                    <w14:schemeClr w14:val="tx1"/>
                  </w14:solidFill>
                </w14:textFill>
              </w:rPr>
              <w:t>1</w:t>
            </w:r>
            <w:r>
              <w:rPr>
                <w:rFonts w:hint="eastAsia" w:ascii="仿宋" w:hAnsi="仿宋" w:eastAsia="仿宋" w:cs="仿宋"/>
                <w:bCs/>
                <w:i/>
                <w:iCs/>
                <w:color w:val="000000" w:themeColor="text1"/>
                <w:kern w:val="0"/>
                <w:sz w:val="24"/>
                <w:szCs w:val="24"/>
                <w14:textFill>
                  <w14:solidFill>
                    <w14:schemeClr w14:val="tx1"/>
                  </w14:solidFill>
                </w14:textFill>
              </w:rPr>
              <w:t>+q</w:t>
            </w:r>
            <w:r>
              <w:rPr>
                <w:rFonts w:hint="eastAsia" w:ascii="仿宋" w:hAnsi="仿宋" w:eastAsia="仿宋" w:cs="仿宋"/>
                <w:bCs/>
                <w:i/>
                <w:iCs/>
                <w:color w:val="000000" w:themeColor="text1"/>
                <w:kern w:val="0"/>
                <w:sz w:val="24"/>
                <w:szCs w:val="24"/>
                <w:vertAlign w:val="subscript"/>
                <w14:textFill>
                  <w14:solidFill>
                    <w14:schemeClr w14:val="tx1"/>
                  </w14:solidFill>
                </w14:textFill>
              </w:rPr>
              <w:t>2</w:t>
            </w:r>
            <w:r>
              <w:rPr>
                <w:rFonts w:hint="eastAsia" w:ascii="仿宋" w:hAnsi="仿宋" w:eastAsia="仿宋" w:cs="仿宋"/>
                <w:bCs/>
                <w:i/>
                <w:iCs/>
                <w:color w:val="000000" w:themeColor="text1"/>
                <w:kern w:val="0"/>
                <w:sz w:val="24"/>
                <w:szCs w:val="24"/>
                <w14:textFill>
                  <w14:solidFill>
                    <w14:schemeClr w14:val="tx1"/>
                  </w14:solidFill>
                </w14:textFill>
              </w:rPr>
              <w:t>/Q</w:t>
            </w:r>
            <w:r>
              <w:rPr>
                <w:rFonts w:hint="eastAsia" w:ascii="仿宋" w:hAnsi="仿宋" w:eastAsia="仿宋" w:cs="仿宋"/>
                <w:bCs/>
                <w:i/>
                <w:iCs/>
                <w:color w:val="000000" w:themeColor="text1"/>
                <w:kern w:val="0"/>
                <w:sz w:val="24"/>
                <w:szCs w:val="24"/>
                <w:vertAlign w:val="subscript"/>
                <w14:textFill>
                  <w14:solidFill>
                    <w14:schemeClr w14:val="tx1"/>
                  </w14:solidFill>
                </w14:textFill>
              </w:rPr>
              <w:t>2</w:t>
            </w:r>
            <w:r>
              <w:rPr>
                <w:rFonts w:hint="eastAsia" w:ascii="仿宋" w:hAnsi="仿宋" w:eastAsia="仿宋" w:cs="仿宋"/>
                <w:bCs/>
                <w:i/>
                <w:iCs/>
                <w:color w:val="000000" w:themeColor="text1"/>
                <w:kern w:val="0"/>
                <w:sz w:val="24"/>
                <w:szCs w:val="24"/>
                <w14:textFill>
                  <w14:solidFill>
                    <w14:schemeClr w14:val="tx1"/>
                  </w14:solidFill>
                </w14:textFill>
              </w:rPr>
              <w:t>+……+q</w:t>
            </w:r>
            <w:r>
              <w:rPr>
                <w:rFonts w:hint="eastAsia" w:ascii="仿宋" w:hAnsi="仿宋" w:eastAsia="仿宋" w:cs="仿宋"/>
                <w:bCs/>
                <w:i/>
                <w:iCs/>
                <w:color w:val="000000" w:themeColor="text1"/>
                <w:kern w:val="0"/>
                <w:sz w:val="24"/>
                <w:szCs w:val="24"/>
                <w:vertAlign w:val="subscript"/>
                <w14:textFill>
                  <w14:solidFill>
                    <w14:schemeClr w14:val="tx1"/>
                  </w14:solidFill>
                </w14:textFill>
              </w:rPr>
              <w:t>n</w:t>
            </w:r>
            <w:r>
              <w:rPr>
                <w:rFonts w:hint="eastAsia" w:ascii="仿宋" w:hAnsi="仿宋" w:eastAsia="仿宋" w:cs="仿宋"/>
                <w:bCs/>
                <w:i/>
                <w:iCs/>
                <w:color w:val="000000" w:themeColor="text1"/>
                <w:kern w:val="0"/>
                <w:sz w:val="24"/>
                <w:szCs w:val="24"/>
                <w14:textFill>
                  <w14:solidFill>
                    <w14:schemeClr w14:val="tx1"/>
                  </w14:solidFill>
                </w14:textFill>
              </w:rPr>
              <w:t>/Qn</w:t>
            </w:r>
          </w:p>
          <w:p>
            <w:pPr>
              <w:wordWrap/>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式中：</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i/>
                <w:iCs/>
                <w:color w:val="000000" w:themeColor="text1"/>
                <w:sz w:val="24"/>
                <w:szCs w:val="24"/>
                <w:vertAlign w:val="subscript"/>
                <w14:textFill>
                  <w14:solidFill>
                    <w14:schemeClr w14:val="tx1"/>
                  </w14:solidFill>
                </w14:textFill>
              </w:rPr>
              <w:t>1</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i/>
                <w:iCs/>
                <w:color w:val="000000" w:themeColor="text1"/>
                <w:sz w:val="24"/>
                <w:szCs w:val="24"/>
                <w:vertAlign w:val="subscript"/>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i/>
                <w:iCs/>
                <w:color w:val="000000" w:themeColor="text1"/>
                <w:sz w:val="24"/>
                <w:szCs w:val="24"/>
                <w14:textFill>
                  <w14:solidFill>
                    <w14:schemeClr w14:val="tx1"/>
                  </w14:solidFill>
                </w14:textFill>
              </w:rPr>
              <w:t>qn</w:t>
            </w:r>
            <w:r>
              <w:rPr>
                <w:rFonts w:hint="eastAsia" w:ascii="仿宋" w:hAnsi="仿宋" w:eastAsia="仿宋" w:cs="仿宋"/>
                <w:color w:val="000000" w:themeColor="text1"/>
                <w:sz w:val="24"/>
                <w:szCs w:val="24"/>
                <w14:textFill>
                  <w14:solidFill>
                    <w14:schemeClr w14:val="tx1"/>
                  </w14:solidFill>
                </w14:textFill>
              </w:rPr>
              <w:t>—每种危险物质的最大存在总量，t；</w:t>
            </w:r>
          </w:p>
          <w:p>
            <w:pPr>
              <w:wordWrap/>
              <w:spacing w:line="360" w:lineRule="auto"/>
              <w:ind w:firstLine="1200" w:firstLineChars="5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i/>
                <w:iCs/>
                <w:color w:val="000000" w:themeColor="text1"/>
                <w:sz w:val="24"/>
                <w:szCs w:val="24"/>
                <w:vertAlign w:val="subscript"/>
                <w14:textFill>
                  <w14:solidFill>
                    <w14:schemeClr w14:val="tx1"/>
                  </w14:solidFill>
                </w14:textFill>
              </w:rPr>
              <w:t>1</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i/>
                <w:iCs/>
                <w:color w:val="000000" w:themeColor="text1"/>
                <w:sz w:val="24"/>
                <w:szCs w:val="24"/>
                <w:vertAlign w:val="subscript"/>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i/>
                <w:iCs/>
                <w:color w:val="000000" w:themeColor="text1"/>
                <w:sz w:val="24"/>
                <w:szCs w:val="24"/>
                <w14:textFill>
                  <w14:solidFill>
                    <w14:schemeClr w14:val="tx1"/>
                  </w14:solidFill>
                </w14:textFill>
              </w:rPr>
              <w:t>Qn</w:t>
            </w:r>
            <w:r>
              <w:rPr>
                <w:rFonts w:hint="eastAsia" w:ascii="仿宋" w:hAnsi="仿宋" w:eastAsia="仿宋" w:cs="仿宋"/>
                <w:color w:val="000000" w:themeColor="text1"/>
                <w:sz w:val="24"/>
                <w:szCs w:val="24"/>
                <w14:textFill>
                  <w14:solidFill>
                    <w14:schemeClr w14:val="tx1"/>
                  </w14:solidFill>
                </w14:textFill>
              </w:rPr>
              <w:t>—每种危险物质的临界量，t；</w:t>
            </w:r>
          </w:p>
          <w:p>
            <w:pPr>
              <w:wordWrap/>
              <w:spacing w:line="360" w:lineRule="auto"/>
              <w:ind w:firstLine="1200" w:firstLineChars="5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当</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color w:val="000000" w:themeColor="text1"/>
                <w:sz w:val="24"/>
                <w:szCs w:val="24"/>
                <w14:textFill>
                  <w14:solidFill>
                    <w14:schemeClr w14:val="tx1"/>
                  </w14:solidFill>
                </w14:textFill>
              </w:rPr>
              <w:t>＜1时，该项目环境风险潜势为I。</w:t>
            </w:r>
          </w:p>
          <w:p>
            <w:pPr>
              <w:wordWrap/>
              <w:spacing w:line="360" w:lineRule="auto"/>
              <w:ind w:firstLine="1200" w:firstLineChars="5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当</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color w:val="000000" w:themeColor="text1"/>
                <w:sz w:val="24"/>
                <w:szCs w:val="24"/>
                <w14:textFill>
                  <w14:solidFill>
                    <w14:schemeClr w14:val="tx1"/>
                  </w14:solidFill>
                </w14:textFill>
              </w:rPr>
              <w:t>≥1时，将</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color w:val="000000" w:themeColor="text1"/>
                <w:sz w:val="24"/>
                <w:szCs w:val="24"/>
                <w14:textFill>
                  <w14:solidFill>
                    <w14:schemeClr w14:val="tx1"/>
                  </w14:solidFill>
                </w14:textFill>
              </w:rPr>
              <w:t>值划分为：1≤</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color w:val="000000" w:themeColor="text1"/>
                <w:sz w:val="24"/>
                <w:szCs w:val="24"/>
                <w14:textFill>
                  <w14:solidFill>
                    <w14:schemeClr w14:val="tx1"/>
                  </w14:solidFill>
                </w14:textFill>
              </w:rPr>
              <w:t>＜10；10≤</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color w:val="000000" w:themeColor="text1"/>
                <w:sz w:val="24"/>
                <w:szCs w:val="24"/>
                <w14:textFill>
                  <w14:solidFill>
                    <w14:schemeClr w14:val="tx1"/>
                  </w14:solidFill>
                </w14:textFill>
              </w:rPr>
              <w:t>＜100；</w:t>
            </w:r>
            <w:r>
              <w:rPr>
                <w:rFonts w:hint="eastAsia" w:ascii="仿宋" w:hAnsi="仿宋" w:eastAsia="仿宋" w:cs="仿宋"/>
                <w:i/>
                <w:iCs/>
                <w:color w:val="000000" w:themeColor="text1"/>
                <w:sz w:val="24"/>
                <w:szCs w:val="24"/>
                <w14:textFill>
                  <w14:solidFill>
                    <w14:schemeClr w14:val="tx1"/>
                  </w14:solidFill>
                </w14:textFill>
              </w:rPr>
              <w:t>Q</w:t>
            </w:r>
            <w:r>
              <w:rPr>
                <w:rFonts w:hint="eastAsia" w:ascii="仿宋" w:hAnsi="仿宋" w:eastAsia="仿宋" w:cs="仿宋"/>
                <w:color w:val="000000" w:themeColor="text1"/>
                <w:sz w:val="24"/>
                <w:szCs w:val="24"/>
                <w14:textFill>
                  <w14:solidFill>
                    <w14:schemeClr w14:val="tx1"/>
                  </w14:solidFill>
                </w14:textFill>
              </w:rPr>
              <w:t>≥100。</w:t>
            </w:r>
          </w:p>
          <w:p>
            <w:pPr>
              <w:wordWrap/>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建设项目环境风险评价技术导则》（HJ/T169-2018），环境风险评价工作等级划分为一级、二级、三级。根据建设项目涉及的物质及工艺系统危险性和所在地的环境敏感性确定环境风险潜势，按照下表确定评价工作等级。</w:t>
            </w:r>
          </w:p>
          <w:p>
            <w:pPr>
              <w:pStyle w:val="57"/>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表4-8  评价工作等级划分表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560"/>
              <w:gridCol w:w="1560"/>
              <w:gridCol w:w="156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环境风险潜势</w:t>
                  </w:r>
                </w:p>
              </w:tc>
              <w:tc>
                <w:tcPr>
                  <w:tcW w:w="999"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Ⅳ、Ⅳ+</w:t>
                  </w:r>
                </w:p>
              </w:tc>
              <w:tc>
                <w:tcPr>
                  <w:tcW w:w="999"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Ⅲ</w:t>
                  </w:r>
                </w:p>
              </w:tc>
              <w:tc>
                <w:tcPr>
                  <w:tcW w:w="1000"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Ⅱ</w:t>
                  </w:r>
                </w:p>
              </w:tc>
              <w:tc>
                <w:tcPr>
                  <w:tcW w:w="1000"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评价工作等级</w:t>
                  </w:r>
                </w:p>
              </w:tc>
              <w:tc>
                <w:tcPr>
                  <w:tcW w:w="999"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一</w:t>
                  </w:r>
                </w:p>
              </w:tc>
              <w:tc>
                <w:tcPr>
                  <w:tcW w:w="999"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二</w:t>
                  </w:r>
                </w:p>
              </w:tc>
              <w:tc>
                <w:tcPr>
                  <w:tcW w:w="1000"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三</w:t>
                  </w:r>
                </w:p>
              </w:tc>
              <w:tc>
                <w:tcPr>
                  <w:tcW w:w="1000" w:type="pct"/>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top"/>
                </w:tcPr>
                <w:p>
                  <w:pPr>
                    <w:pStyle w:val="58"/>
                    <w:bidi w:val="0"/>
                    <w:spacing w:line="360" w:lineRule="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a是相对于详细评价工作内容而言，在描述危险物质、环境影响途径、环境危害后果、风险防范措施等方面给出定性的说明。</w:t>
                  </w:r>
                </w:p>
              </w:tc>
            </w:tr>
          </w:tbl>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根据计算，项目Q为</w:t>
            </w:r>
            <w:r>
              <w:rPr>
                <w:rFonts w:hint="eastAsia" w:ascii="仿宋" w:hAnsi="仿宋" w:eastAsia="仿宋" w:cs="仿宋"/>
                <w:color w:val="000000" w:themeColor="text1"/>
                <w:sz w:val="24"/>
                <w:szCs w:val="24"/>
                <w:lang w:val="en-US" w:eastAsia="zh-CN"/>
                <w14:textFill>
                  <w14:solidFill>
                    <w14:schemeClr w14:val="tx1"/>
                  </w14:solidFill>
                </w14:textFill>
              </w:rPr>
              <w:t>0.00636</w:t>
            </w:r>
            <w:r>
              <w:rPr>
                <w:rFonts w:hint="eastAsia" w:ascii="仿宋" w:hAnsi="仿宋" w:eastAsia="仿宋" w:cs="仿宋"/>
                <w:color w:val="000000" w:themeColor="text1"/>
                <w:sz w:val="24"/>
                <w:szCs w:val="24"/>
                <w14:textFill>
                  <w14:solidFill>
                    <w14:schemeClr w14:val="tx1"/>
                  </w14:solidFill>
                </w14:textFill>
              </w:rPr>
              <w:t>＜1，环境风险潜势为I，本次评价进行简单分析。</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.3环境风险物质影响途径</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（1）土壤与地下水污染途径</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油类物质泄漏后，经地表下渗进入土壤，进而污染浅层地下水；长期渗漏可导致土壤石油类超标、地下水水质恶化。</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（2）地表水污染途径</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雨天时，泄漏油类随地表径流汇入周边沟谷、水体，造成地表水石油类超标。</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（3）大气污染途径</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油类火灾时，燃烧产生 CO、烟尘、NOx、SO₂等污染物，造成局部大气污染。</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.4环境风险分析</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（1）大气环境风险分析</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变压器油、废矿物油在使用、储运过程中若操作不当或设备损坏造成物质泄漏，泄漏后遇火源或在高温（高于闪点）等特殊情况下，将引发火灾爆炸风险将对周边大气产生较为严重的环境污染。由于变压器油泄漏后排入事故油池，暴露在空气中的量较小，通过加强巡检等措施后，可以及时发生泄漏，切断泄漏源并用事故油池收容泄漏物，在采取以上应急措施后，引起火灾爆炸的可能性较小。建设单位需强化禁火区域安全管理，严禁烟火，将生产、储存装置区域列为禁火区，区内加强火源管理，严禁吸烟。在变压器、</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附近，配置推车式泡沫灭火器及砂箱等灭火器材。建设单位应认真落实风险防范措施，大气环境风险可控，对周边环境影响较小。</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（2）地表水环境风险分析</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若因管理不当或设备损坏导致变压器油（废变压器油）发生泄漏，在雨天时可能随地表径流一起进入地表水，对地表水造成污染。由于项目变压器附近设有事故油池，若变压器发生泄漏后，事故变压器油将全部进入事故油池，事故油池设计阶段按要求采取重点防渗措施，经事故油池收集的废油最终交有资质的单位处理。</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设置有导流沟和收集池，若确实发生了泄漏事故，及时切断泄漏源，封闭现场，采用合适的材料收容泄漏物。通过及时采取应急措施处理后，变压器油（废变压器油）不会随地表径流一起进入地表水，地表水环境风险可控</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（3）地下水及土壤环境风险分析</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若事故油池及</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设置的防渗层破裂或失效，变压器油（废变压器油）下渗后可能对地下水及土壤造成污染，导致泄漏主要原因为：衬垫材料不良或施工不当引起衬垫失效；基础不均匀沉降引起的衬垫破裂；人为破坏引起衬垫失效。项目在建设期根据环评要求及设计规范的要求严格做好分区防渗工程，其中</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基础防渗层至少1m厚黏土层，K≤10</w:t>
            </w:r>
            <w:r>
              <w:rPr>
                <w:rFonts w:hint="eastAsia" w:ascii="仿宋" w:hAnsi="仿宋" w:eastAsia="仿宋" w:cs="仿宋"/>
                <w:color w:val="000000" w:themeColor="text1"/>
                <w:sz w:val="24"/>
                <w:szCs w:val="24"/>
                <w:vertAlign w:val="superscript"/>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cm/s，人工防渗层材料厚度不小于2mm，K≤10</w:t>
            </w:r>
            <w:r>
              <w:rPr>
                <w:rFonts w:hint="eastAsia" w:ascii="仿宋" w:hAnsi="仿宋" w:eastAsia="仿宋" w:cs="仿宋"/>
                <w:color w:val="000000" w:themeColor="text1"/>
                <w:sz w:val="24"/>
                <w:szCs w:val="24"/>
                <w:vertAlign w:val="superscript"/>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cm/s，或其他防渗性能等效的材料</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项目严格建设相关防渗措施后</w:t>
            </w:r>
            <w:r>
              <w:rPr>
                <w:rFonts w:hint="eastAsia" w:ascii="仿宋" w:hAnsi="仿宋" w:eastAsia="仿宋" w:cs="仿宋"/>
                <w:color w:val="000000" w:themeColor="text1"/>
                <w:sz w:val="24"/>
                <w:szCs w:val="24"/>
                <w14:textFill>
                  <w14:solidFill>
                    <w14:schemeClr w14:val="tx1"/>
                  </w14:solidFill>
                </w14:textFill>
              </w:rPr>
              <w:t>，渗入地下水及土壤可能性较小，运营期加强监管的基础上，则地下水及土壤环境风险可控。主变的事故油池严格按照《火力发电厂与变电站设计防火标准》（GB50229-2019）的要求进行设计，做好分区防渗，</w:t>
            </w:r>
            <w:r>
              <w:rPr>
                <w:rFonts w:hint="eastAsia" w:ascii="仿宋" w:hAnsi="仿宋" w:eastAsia="仿宋" w:cs="仿宋"/>
                <w:color w:val="000000" w:themeColor="text1"/>
                <w:sz w:val="24"/>
                <w:szCs w:val="24"/>
                <w:lang w:val="en-US" w:eastAsia="zh-CN"/>
                <w14:textFill>
                  <w14:solidFill>
                    <w14:schemeClr w14:val="tx1"/>
                  </w14:solidFill>
                </w14:textFill>
              </w:rPr>
              <w:t>对</w:t>
            </w:r>
            <w:r>
              <w:rPr>
                <w:rFonts w:hint="eastAsia" w:ascii="仿宋" w:hAnsi="仿宋" w:eastAsia="仿宋" w:cs="仿宋"/>
                <w:color w:val="000000" w:themeColor="text1"/>
                <w:sz w:val="24"/>
                <w:szCs w:val="24"/>
                <w14:textFill>
                  <w14:solidFill>
                    <w14:schemeClr w14:val="tx1"/>
                  </w14:solidFill>
                </w14:textFill>
              </w:rPr>
              <w:t>地下水及土壤渗透的影响很小。</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.5环境风险防范措施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（1）泄漏事故的环境风险防范措施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严格按照《危险废物贮存污染控制标准》（GB18597-2023）的要求进行设置，采取必要的防风、防晒、防雨、防漏、防渗、防腐以及其他环境污染防治措施，防止二次污染，设置必要的贮存分区。</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基础防渗层至少1m厚黏土层，K≤10</w:t>
            </w:r>
            <w:r>
              <w:rPr>
                <w:rFonts w:hint="eastAsia" w:ascii="仿宋" w:hAnsi="仿宋" w:eastAsia="仿宋" w:cs="仿宋"/>
                <w:color w:val="000000" w:themeColor="text1"/>
                <w:sz w:val="24"/>
                <w:szCs w:val="24"/>
                <w:vertAlign w:val="superscript"/>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cm/s，人工防渗层材料厚度不小于2mm，K≤10</w:t>
            </w:r>
            <w:r>
              <w:rPr>
                <w:rFonts w:hint="eastAsia" w:ascii="仿宋" w:hAnsi="仿宋" w:eastAsia="仿宋" w:cs="仿宋"/>
                <w:color w:val="000000" w:themeColor="text1"/>
                <w:sz w:val="24"/>
                <w:szCs w:val="24"/>
                <w:vertAlign w:val="superscript"/>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cm/s，或其他防渗性能等效的材料。</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c加强工作人员危险品贮存、使用危险品事故防范和应急技术装备的常识，</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管理人员须经过专业知识培训，避免应操作不当造成废机油泄漏、废变压器油泄漏。</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d加强对操作人员的岗位培训，建立健全的环保管理机制和各项环保规章制度，落实岗位环保责任制，加强环境风险防范工作，防止事故排放导致环境问题。</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e主变事故油池严格按照《火力发电厂与变电站设计防火标准》（GB50229-2019）的要求进行设计。</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f项目拟在</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主变旁设置1座有效容积</w:t>
            </w:r>
            <w:r>
              <w:rPr>
                <w:rFonts w:hint="eastAsia" w:ascii="仿宋" w:hAnsi="仿宋" w:eastAsia="仿宋" w:cs="仿宋"/>
                <w:color w:val="000000" w:themeColor="text1"/>
                <w:sz w:val="24"/>
                <w:szCs w:val="24"/>
                <w:lang w:val="en-US"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事故油池，贮油设施内铺设卵石层其厚度不应小于250mm，卵石直径宜为50mm~80mm，满足《火力发电厂与变电站设计防火标准》（GB50229-2019）的设计要求。事故油池设置防渗措施，确保事故油水混合物在存储的过程中不会渗漏。箱变集油池按照《危险废物贮存污染控制标准》（GB18597-2023）要求采取必要的防风、防晒、防雨、防、防渗、防腐措施，集油池防渗层应覆盖整个池体。</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（2）火灾引发的次生反应的环境风险防范措施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a加强设备电线及接头的检修及维护，防止因线路老化、接触不良等原因造成火灾事故。</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b设置危险警示牌，站内配备消防沙和灭火器。</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c建设单位需强化禁火区域安全管理，严禁烟火，将生产、储存装置区域列为禁火区，区内加强火源管理，严禁吸烟；电气设备应定期检修，发现可能引起火花，短路，发热及电气绝缘损坏，接触电阻。</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d严格规范员工操作，做好防护措施，加强职工的安全教育，提高安全素质严格执行作业规程，严禁违章作业，防止因失误操作造成环境风险事故的发生。</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e加强检修质量。重点保证设备连接处连接紧密，有油设备瓷件清扫，确保可燃设备起火因素得到有效</w:t>
            </w:r>
            <w:r>
              <w:rPr>
                <w:rFonts w:hint="eastAsia" w:ascii="仿宋" w:hAnsi="仿宋" w:eastAsia="仿宋" w:cs="仿宋"/>
                <w:color w:val="000000" w:themeColor="text1"/>
                <w:sz w:val="24"/>
                <w:szCs w:val="24"/>
                <w:lang w:val="en-US" w:eastAsia="zh-CN"/>
                <w14:textFill>
                  <w14:solidFill>
                    <w14:schemeClr w14:val="tx1"/>
                  </w14:solidFill>
                </w14:textFill>
              </w:rPr>
              <w:t>控制</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f加强消防设施验收管理，确保新建</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满足防火规范要求。</w:t>
            </w:r>
          </w:p>
          <w:p>
            <w:pPr>
              <w:spacing w:line="360" w:lineRule="auto"/>
              <w:ind w:firstLine="482"/>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.6事故应急预案</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针对本项目可能发生的环境风险突发事故，为了将风险事故率降到最小，</w:t>
            </w:r>
            <w:r>
              <w:rPr>
                <w:rFonts w:hint="eastAsia" w:ascii="仿宋" w:hAnsi="仿宋" w:eastAsia="仿宋" w:cs="仿宋"/>
                <w:color w:val="000000" w:themeColor="text1"/>
                <w:sz w:val="24"/>
                <w:szCs w:val="24"/>
                <w:lang w:eastAsia="zh-CN"/>
                <w14:textFill>
                  <w14:solidFill>
                    <w14:schemeClr w14:val="tx1"/>
                  </w14:solidFill>
                </w14:textFill>
              </w:rPr>
              <w:t>项目运营期</w:t>
            </w:r>
            <w:r>
              <w:rPr>
                <w:rFonts w:hint="eastAsia" w:ascii="仿宋" w:hAnsi="仿宋" w:eastAsia="仿宋" w:cs="仿宋"/>
                <w:color w:val="000000" w:themeColor="text1"/>
                <w:sz w:val="24"/>
                <w:szCs w:val="24"/>
                <w14:textFill>
                  <w14:solidFill>
                    <w14:schemeClr w14:val="tx1"/>
                  </w14:solidFill>
                </w14:textFill>
              </w:rPr>
              <w:t>应编制突发环境事件应急预案，并报当地生态环境主管部门备案实施，并安排环境风险应急预案及风险污染处置演练，进行应急处置宣传、教育。</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.7环境风险分析结论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环境风险物质储存量小（Q＜1），风险潜势为Ⅰ级。通过防渗工程、密闭储存、巡检维护、消防配置、应急管理等措施，可有效防范油类泄漏、火灾等事故；即便发生事故，也能快速处置、控制影响范围，土壤、地下水、地表水、大气污染风险均可控、可接受。综上，项目运营期环境风险较小，满足环境安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213" w:type="pct"/>
            <w:noWrap w:val="0"/>
            <w:vAlign w:val="center"/>
          </w:tcPr>
          <w:p>
            <w:pPr>
              <w:pStyle w:val="21"/>
              <w:adjustRightInd w:val="0"/>
              <w:snapToGrid w:val="0"/>
              <w:spacing w:before="0" w:beforeAutospacing="0" w:after="0" w:afterAutospacing="0"/>
              <w:jc w:val="center"/>
              <w:rPr>
                <w:rFonts w:hint="eastAsia" w:ascii="仿宋" w:hAnsi="仿宋" w:eastAsia="仿宋" w:cs="仿宋"/>
                <w:bCs/>
                <w:color w:val="000000" w:themeColor="text1"/>
                <w:kern w:val="2"/>
                <w:sz w:val="24"/>
                <w:szCs w:val="24"/>
                <w14:textFill>
                  <w14:solidFill>
                    <w14:schemeClr w14:val="tx1"/>
                  </w14:solidFill>
                </w14:textFill>
              </w:rPr>
            </w:pPr>
            <w:r>
              <w:rPr>
                <w:rFonts w:hint="eastAsia" w:ascii="仿宋" w:hAnsi="仿宋" w:eastAsia="仿宋" w:cs="仿宋"/>
                <w:bCs/>
                <w:color w:val="000000" w:themeColor="text1"/>
                <w:kern w:val="2"/>
                <w:sz w:val="24"/>
                <w:szCs w:val="24"/>
                <w14:textFill>
                  <w14:solidFill>
                    <w14:schemeClr w14:val="tx1"/>
                  </w14:solidFill>
                </w14:textFill>
              </w:rPr>
              <w:t>选址选线环境合理性分析</w:t>
            </w:r>
          </w:p>
        </w:tc>
        <w:tc>
          <w:tcPr>
            <w:tcW w:w="4786" w:type="pct"/>
            <w:noWrap w:val="0"/>
            <w:vAlign w:val="top"/>
          </w:tcPr>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1、工程选择合理性分析</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千乡万村驭风行动”莲峰村风电场选址于弥渡县密祉镇莲峰村东侧老鸦山山脊地带，选址符合区域国土空间规划、生态保护红线及公益林保护要求，已避让基本农田、生态保护红线、国家一级公益林及天然乔木林等生态敏感区域。场址位于山地山脊，地形开阔、地势较高，无泥石流、滑坡、崩塌等不良地质灾害隐患，地质条件稳定，适宜风电场建设；周边无集中居民区、学校、医院等环境敏感目标，远离文物古迹、饮用水源保护区及自然保护区，开发建设对区域人居环境、生态敏感区影响极小。场址风能资源丰富，交通条件可依托现有乡村道路改扩建，满足设备运输及施工需求，工程选址兼顾资源利用、生态保护与施工可行性，环境合理性突出。</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综上，从环境保护的角度分析，项目整体选址合理。</w:t>
            </w:r>
          </w:p>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2、临时工程选址合理性分析</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临时工程（施工营地、材料堆场、临时道路等）均布置于风电场永久占地周边闲置山地、荒坡及现有乡村道路沿线，选址严格避让公益林、林地及植被茂密区域，不占用基本农田及生态敏感空间。临时工程选址地形平缓、地质条件稳定，无不良地质风险，且远离周边居民区及生态敏感点，施工噪声、扬尘、废水等影响范围局限，可通过围挡、洒水降尘、污水处理等措施有效控制。临时道路主要依托现有土路改扩建，减少新增占地与植被破坏；施工营地、材料堆场选址避开汇水区域，可有效防范水土流失，临时工程选址契合生态保护要求，施工期环境影响可控，选址合理可行。施工结束后，及时对施工临建设施区域进行场地清理、植被恢复工作，植被恢复宜选择区域当地物种，严禁引入外来物种。施工期采取的各项环保措施可行，对生态环境的影响较小。从环境保护角度分析，临时生活区选址可行。</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3、</w:t>
            </w:r>
            <w:r>
              <w:rPr>
                <w:rFonts w:hint="eastAsia" w:ascii="仿宋" w:hAnsi="仿宋" w:eastAsia="仿宋" w:cs="仿宋"/>
                <w:b/>
                <w:bCs/>
                <w:color w:val="000000" w:themeColor="text1"/>
                <w:sz w:val="24"/>
                <w:szCs w:val="24"/>
                <w14:textFill>
                  <w14:solidFill>
                    <w14:schemeClr w14:val="tx1"/>
                  </w14:solidFill>
                </w14:textFill>
              </w:rPr>
              <w:t>堆土场</w:t>
            </w:r>
            <w:r>
              <w:rPr>
                <w:rFonts w:hint="eastAsia" w:ascii="仿宋" w:hAnsi="仿宋" w:eastAsia="仿宋" w:cs="仿宋"/>
                <w:b/>
                <w:bCs/>
                <w:color w:val="000000" w:themeColor="text1"/>
                <w:sz w:val="24"/>
                <w:szCs w:val="24"/>
                <w:lang w:val="en-US" w:eastAsia="zh-CN"/>
                <w14:textFill>
                  <w14:solidFill>
                    <w14:schemeClr w14:val="tx1"/>
                  </w14:solidFill>
                </w14:textFill>
              </w:rPr>
              <w:t>和弃渣场</w:t>
            </w:r>
            <w:r>
              <w:rPr>
                <w:rFonts w:hint="eastAsia" w:ascii="仿宋" w:hAnsi="仿宋" w:eastAsia="仿宋" w:cs="仿宋"/>
                <w:b/>
                <w:bCs/>
                <w:color w:val="000000" w:themeColor="text1"/>
                <w:sz w:val="24"/>
                <w:szCs w:val="24"/>
                <w14:textFill>
                  <w14:solidFill>
                    <w14:schemeClr w14:val="tx1"/>
                  </w14:solidFill>
                </w14:textFill>
              </w:rPr>
              <w:t>的选址合理性分析</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项目堆土场、弃渣场均选址于风电场场区周边荒坡、低洼闲置地块，选址符合水土保持及生态环境保护要求，已避让公益林、林地、基本农田、汇水通道及生态敏感区域。弃渣场、堆土场地形封闭、地势低洼，周边无居民区、饮用水源地及自然保护目标，可有效防止弃渣流失、水土流失及对周边水体、植被的污染破坏；场地地质条件稳定，无滑坡、泥石流等地质灾害隐患，容量可满足项目施工弃渣、堆土需求，且远离河道、冲沟，不会对地表径流造成影响。施工结束后可及时对堆土场、弃渣场进行覆土、植被恢复，恢复区域生态环境，选址兼顾施工需求、水土保持与生态修复，环境合理性强，占地结束后及时采取植被恢复措施，恢复占地植被，有利于减少对区域生态环境的影响。从环境保护的角度分析，项目</w:t>
            </w:r>
            <w:r>
              <w:rPr>
                <w:rFonts w:hint="eastAsia" w:ascii="仿宋" w:hAnsi="仿宋" w:eastAsia="仿宋" w:cs="仿宋"/>
                <w:color w:val="000000" w:themeColor="text1"/>
                <w:sz w:val="24"/>
                <w:szCs w:val="24"/>
                <w:lang w:eastAsia="zh-CN"/>
                <w14:textFill>
                  <w14:solidFill>
                    <w14:schemeClr w14:val="tx1"/>
                  </w14:solidFill>
                </w14:textFill>
              </w:rPr>
              <w:t>堆土场</w:t>
            </w:r>
            <w:r>
              <w:rPr>
                <w:rFonts w:hint="eastAsia" w:ascii="仿宋" w:hAnsi="仿宋" w:eastAsia="仿宋" w:cs="仿宋"/>
                <w:color w:val="000000" w:themeColor="text1"/>
                <w:sz w:val="24"/>
                <w:szCs w:val="24"/>
                <w:lang w:val="en-US" w:eastAsia="zh-CN"/>
                <w14:textFill>
                  <w14:solidFill>
                    <w14:schemeClr w14:val="tx1"/>
                  </w14:solidFill>
                </w14:textFill>
              </w:rPr>
              <w:t>和弃渣场</w:t>
            </w:r>
            <w:r>
              <w:rPr>
                <w:rFonts w:hint="eastAsia" w:ascii="仿宋" w:hAnsi="仿宋" w:eastAsia="仿宋" w:cs="仿宋"/>
                <w:color w:val="000000" w:themeColor="text1"/>
                <w:sz w:val="24"/>
                <w:szCs w:val="24"/>
                <w14:textFill>
                  <w14:solidFill>
                    <w14:schemeClr w14:val="tx1"/>
                  </w14:solidFill>
                </w14:textFill>
              </w:rPr>
              <w:t>的设置可行。</w:t>
            </w: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p>
          <w:p>
            <w:pPr>
              <w:spacing w:line="360" w:lineRule="auto"/>
              <w:ind w:firstLine="480" w:firstLineChars="0"/>
              <w:rPr>
                <w:rFonts w:hint="eastAsia" w:ascii="仿宋" w:hAnsi="仿宋" w:eastAsia="仿宋" w:cs="仿宋"/>
                <w:color w:val="000000" w:themeColor="text1"/>
                <w:sz w:val="24"/>
                <w:szCs w:val="24"/>
                <w14:textFill>
                  <w14:solidFill>
                    <w14:schemeClr w14:val="tx1"/>
                  </w14:solidFill>
                </w14:textFill>
              </w:rPr>
            </w:pPr>
          </w:p>
          <w:p>
            <w:pPr>
              <w:spacing w:line="360" w:lineRule="auto"/>
              <w:rPr>
                <w:rFonts w:hint="eastAsia" w:ascii="仿宋" w:hAnsi="仿宋" w:eastAsia="仿宋" w:cs="仿宋"/>
                <w:color w:val="000000" w:themeColor="text1"/>
                <w:sz w:val="24"/>
                <w:szCs w:val="24"/>
                <w:lang w:val="en-US" w:eastAsia="zh-CN"/>
                <w14:textFill>
                  <w14:solidFill>
                    <w14:schemeClr w14:val="tx1"/>
                  </w14:solidFill>
                </w14:textFill>
              </w:rPr>
            </w:pPr>
          </w:p>
        </w:tc>
      </w:tr>
    </w:tbl>
    <w:p>
      <w:pPr>
        <w:pStyle w:val="21"/>
        <w:jc w:val="center"/>
        <w:rPr>
          <w:rFonts w:ascii="黑体" w:hAnsi="黑体" w:eastAsia="黑体"/>
          <w:snapToGrid w:val="0"/>
          <w:color w:val="000000" w:themeColor="text1"/>
          <w:sz w:val="36"/>
          <w:szCs w:val="36"/>
          <w14:textFill>
            <w14:solidFill>
              <w14:schemeClr w14:val="tx1"/>
            </w14:solidFill>
          </w14:textFill>
        </w:rPr>
        <w:sectPr>
          <w:pgSz w:w="11906" w:h="16838"/>
          <w:pgMar w:top="1440" w:right="1800" w:bottom="1440" w:left="1800" w:header="1077" w:footer="1077" w:gutter="0"/>
          <w:pgBorders>
            <w:top w:val="none" w:sz="0" w:space="0"/>
            <w:left w:val="none" w:sz="0" w:space="0"/>
            <w:bottom w:val="none" w:sz="0" w:space="0"/>
            <w:right w:val="none" w:sz="0" w:space="0"/>
          </w:pgBorders>
          <w:pgNumType w:fmt="decimal"/>
          <w:cols w:space="720" w:num="1"/>
          <w:docGrid w:linePitch="312" w:charSpace="0"/>
        </w:sectPr>
      </w:pPr>
    </w:p>
    <w:p>
      <w:pPr>
        <w:pStyle w:val="21"/>
        <w:adjustRightInd w:val="0"/>
        <w:snapToGrid w:val="0"/>
        <w:spacing w:before="0" w:beforeAutospacing="0" w:after="0" w:afterAutospacing="0" w:line="14" w:lineRule="auto"/>
        <w:jc w:val="center"/>
        <w:outlineLvl w:val="9"/>
        <w:rPr>
          <w:rFonts w:hint="eastAsia" w:ascii="黑体" w:hAnsi="黑体" w:eastAsia="黑体"/>
          <w:snapToGrid w:val="0"/>
          <w:color w:val="000000" w:themeColor="text1"/>
          <w:sz w:val="30"/>
          <w:szCs w:val="30"/>
          <w14:textFill>
            <w14:solidFill>
              <w14:schemeClr w14:val="tx1"/>
            </w14:solidFill>
          </w14:textFill>
        </w:rPr>
      </w:pPr>
    </w:p>
    <w:p>
      <w:pPr>
        <w:pStyle w:val="21"/>
        <w:jc w:val="center"/>
        <w:outlineLvl w:val="0"/>
        <w:rPr>
          <w:rFonts w:ascii="黑体" w:hAnsi="黑体" w:eastAsia="黑体"/>
          <w:snapToGrid w:val="0"/>
          <w:color w:val="000000" w:themeColor="text1"/>
          <w:sz w:val="30"/>
          <w:szCs w:val="30"/>
          <w14:textFill>
            <w14:solidFill>
              <w14:schemeClr w14:val="tx1"/>
            </w14:solidFill>
          </w14:textFill>
        </w:rPr>
      </w:pPr>
      <w:bookmarkStart w:id="30" w:name="_Toc3134"/>
      <w:r>
        <w:rPr>
          <w:rFonts w:hint="eastAsia" w:ascii="黑体" w:hAnsi="黑体" w:eastAsia="黑体"/>
          <w:snapToGrid w:val="0"/>
          <w:color w:val="000000" w:themeColor="text1"/>
          <w:sz w:val="30"/>
          <w:szCs w:val="30"/>
          <w14:textFill>
            <w14:solidFill>
              <w14:schemeClr w14:val="tx1"/>
            </w14:solidFill>
          </w14:textFill>
        </w:rPr>
        <w:t>五、主要生态环境保护措施</w:t>
      </w:r>
      <w:bookmarkEnd w:id="30"/>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77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408" w:type="pct"/>
            <w:noWrap w:val="0"/>
            <w:tcMar>
              <w:left w:w="28" w:type="dxa"/>
              <w:right w:w="28" w:type="dxa"/>
            </w:tcMar>
            <w:vAlign w:val="center"/>
          </w:tcPr>
          <w:p>
            <w:pPr>
              <w:adjustRightInd w:val="0"/>
              <w:snapToGrid w:val="0"/>
              <w:jc w:val="center"/>
              <w:rPr>
                <w:rFonts w:hint="eastAsia" w:ascii="仿宋" w:hAnsi="仿宋" w:eastAsia="仿宋" w:cs="仿宋"/>
                <w:bCs/>
                <w:color w:val="000000" w:themeColor="text1"/>
                <w:spacing w:val="10"/>
                <w:sz w:val="24"/>
                <w:szCs w:val="24"/>
                <w14:textFill>
                  <w14:solidFill>
                    <w14:schemeClr w14:val="tx1"/>
                  </w14:solidFill>
                </w14:textFill>
              </w:rPr>
            </w:pPr>
            <w:r>
              <w:rPr>
                <w:rFonts w:hint="eastAsia" w:ascii="仿宋" w:hAnsi="仿宋" w:eastAsia="仿宋" w:cs="仿宋"/>
                <w:bCs/>
                <w:color w:val="000000" w:themeColor="text1"/>
                <w:spacing w:val="10"/>
                <w:sz w:val="24"/>
                <w:szCs w:val="24"/>
                <w14:textFill>
                  <w14:solidFill>
                    <w14:schemeClr w14:val="tx1"/>
                  </w14:solidFill>
                </w14:textFill>
              </w:rPr>
              <w:t>施工期生态环境保护措施</w:t>
            </w:r>
          </w:p>
        </w:tc>
        <w:tc>
          <w:tcPr>
            <w:tcW w:w="4591" w:type="pct"/>
            <w:noWrap w:val="0"/>
            <w:vAlign w:val="top"/>
          </w:tcPr>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1、施工期生态环境保护措施</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1.1植物保护措施</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（1）避让措施</w:t>
            </w:r>
          </w:p>
          <w:p>
            <w:pPr>
              <w:spacing w:line="360" w:lineRule="auto"/>
              <w:ind w:firstLine="480"/>
              <w:rPr>
                <w:rFonts w:hint="default"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施工图设计阶段进一步</w:t>
            </w:r>
            <w:r>
              <w:rPr>
                <w:rFonts w:hint="default" w:ascii="仿宋" w:hAnsi="仿宋" w:eastAsia="仿宋" w:cs="仿宋"/>
                <w:color w:val="000000" w:themeColor="text1"/>
                <w:sz w:val="24"/>
                <w:szCs w:val="24"/>
                <w:lang w:eastAsia="zh-CN"/>
                <w14:textFill>
                  <w14:solidFill>
                    <w14:schemeClr w14:val="tx1"/>
                  </w14:solidFill>
                </w14:textFill>
              </w:rPr>
              <w:t>优化施工布置，</w:t>
            </w:r>
            <w:r>
              <w:rPr>
                <w:rFonts w:hint="eastAsia" w:ascii="仿宋" w:hAnsi="仿宋" w:eastAsia="仿宋" w:cs="仿宋"/>
                <w:color w:val="000000" w:themeColor="text1"/>
                <w:sz w:val="24"/>
                <w:szCs w:val="24"/>
                <w:lang w:val="en-US" w:eastAsia="zh-CN"/>
                <w14:textFill>
                  <w14:solidFill>
                    <w14:schemeClr w14:val="tx1"/>
                  </w14:solidFill>
                </w14:textFill>
              </w:rPr>
              <w:t>严格控制施工扰动范围。吊装平台、临时施工场地、材料堆场等临时占地，优先利用既有道路、建设用地等植被覆盖率低的区域，严格按照项目用地红线施工，严禁超范围占地、随意开挖；风机基础、箱变、开关、集电线路、场内道路等永久占地及施工营地、材料堆场、临时道路等临时占地，均避让生态保护红线、公益林、基本农田、天然乔木林及植被茂密区域，优先选用荒坡、闲置山地，最大限度减少林地、草地占用，降低地表扰动面积和原生植被破坏。</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（2）生态减缓及保护措施</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①边坡防护</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根据工程区域边坡地质特点及</w:t>
            </w:r>
            <w:r>
              <w:rPr>
                <w:rFonts w:hint="eastAsia" w:ascii="仿宋" w:hAnsi="仿宋" w:eastAsia="仿宋" w:cs="仿宋"/>
                <w:color w:val="000000" w:themeColor="text1"/>
                <w:sz w:val="24"/>
                <w:szCs w:val="24"/>
                <w:lang w:val="en-US" w:eastAsia="zh-CN"/>
                <w14:textFill>
                  <w14:solidFill>
                    <w14:schemeClr w14:val="tx1"/>
                  </w14:solidFill>
                </w14:textFill>
              </w:rPr>
              <w:t>本项目</w:t>
            </w:r>
            <w:r>
              <w:rPr>
                <w:rFonts w:hint="default" w:ascii="仿宋" w:hAnsi="仿宋" w:eastAsia="仿宋" w:cs="仿宋"/>
                <w:color w:val="000000" w:themeColor="text1"/>
                <w:sz w:val="24"/>
                <w:szCs w:val="24"/>
                <w:lang w:val="en-US" w:eastAsia="zh-CN"/>
                <w14:textFill>
                  <w14:solidFill>
                    <w14:schemeClr w14:val="tx1"/>
                  </w14:solidFill>
                </w14:textFill>
              </w:rPr>
              <w:t>水土保持方案，采取不同的边坡防护措施</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风电场的风机基础、吊装平台</w:t>
            </w:r>
            <w:r>
              <w:rPr>
                <w:rFonts w:hint="eastAsia" w:ascii="仿宋" w:hAnsi="仿宋" w:eastAsia="仿宋" w:cs="仿宋"/>
                <w:color w:val="000000" w:themeColor="text1"/>
                <w:sz w:val="24"/>
                <w:szCs w:val="24"/>
                <w:lang w:val="en-US" w:eastAsia="zh-CN"/>
                <w14:textFill>
                  <w14:solidFill>
                    <w14:schemeClr w14:val="tx1"/>
                  </w14:solidFill>
                </w14:textFill>
              </w:rPr>
              <w:t>及道路工程区</w:t>
            </w:r>
            <w:r>
              <w:rPr>
                <w:rFonts w:hint="default" w:ascii="仿宋" w:hAnsi="仿宋" w:eastAsia="仿宋" w:cs="仿宋"/>
                <w:color w:val="000000" w:themeColor="text1"/>
                <w:sz w:val="24"/>
                <w:szCs w:val="24"/>
                <w:lang w:val="en-US" w:eastAsia="zh-CN"/>
                <w14:textFill>
                  <w14:solidFill>
                    <w14:schemeClr w14:val="tx1"/>
                  </w14:solidFill>
                </w14:textFill>
              </w:rPr>
              <w:t>开挖填筑边坡较多，是土料随意滑落、土壤流失的重要部位，边坡可视性显著，</w:t>
            </w:r>
            <w:r>
              <w:rPr>
                <w:rFonts w:hint="eastAsia" w:ascii="仿宋" w:hAnsi="仿宋" w:eastAsia="仿宋" w:cs="仿宋"/>
                <w:color w:val="000000" w:themeColor="text1"/>
                <w:sz w:val="24"/>
                <w:szCs w:val="24"/>
                <w:lang w:val="en-US" w:eastAsia="zh-CN"/>
                <w14:textFill>
                  <w14:solidFill>
                    <w14:schemeClr w14:val="tx1"/>
                  </w14:solidFill>
                </w14:textFill>
              </w:rPr>
              <w:t>须严格落实</w:t>
            </w:r>
            <w:r>
              <w:rPr>
                <w:rFonts w:hint="default" w:ascii="仿宋" w:hAnsi="仿宋" w:eastAsia="仿宋" w:cs="仿宋"/>
                <w:color w:val="000000" w:themeColor="text1"/>
                <w:sz w:val="24"/>
                <w:szCs w:val="24"/>
                <w:lang w:val="en-US" w:eastAsia="zh-CN"/>
                <w14:textFill>
                  <w14:solidFill>
                    <w14:schemeClr w14:val="tx1"/>
                  </w14:solidFill>
                </w14:textFill>
              </w:rPr>
              <w:t>好边坡防护工作</w:t>
            </w:r>
            <w:r>
              <w:rPr>
                <w:rFonts w:hint="eastAsia" w:ascii="仿宋" w:hAnsi="仿宋" w:eastAsia="仿宋" w:cs="仿宋"/>
                <w:color w:val="000000" w:themeColor="text1"/>
                <w:sz w:val="24"/>
                <w:szCs w:val="24"/>
                <w:lang w:val="en-US" w:eastAsia="zh-CN"/>
                <w14:textFill>
                  <w14:solidFill>
                    <w14:schemeClr w14:val="tx1"/>
                  </w14:solidFill>
                </w14:textFill>
              </w:rPr>
              <w:t>，严控水土流失与植被破坏</w:t>
            </w:r>
            <w:r>
              <w:rPr>
                <w:rFonts w:hint="default" w:ascii="仿宋" w:hAnsi="仿宋" w:eastAsia="仿宋" w:cs="仿宋"/>
                <w:color w:val="000000" w:themeColor="text1"/>
                <w:sz w:val="24"/>
                <w:szCs w:val="24"/>
                <w:lang w:val="en-US" w:eastAsia="zh-CN"/>
                <w14:textFill>
                  <w14:solidFill>
                    <w14:schemeClr w14:val="tx1"/>
                  </w14:solidFill>
                </w14:textFill>
              </w:rPr>
              <w:t>。</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②弃渣合理处置</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施工期尽</w:t>
            </w:r>
            <w:r>
              <w:rPr>
                <w:rFonts w:hint="eastAsia" w:ascii="仿宋" w:hAnsi="仿宋" w:eastAsia="仿宋" w:cs="仿宋"/>
                <w:color w:val="000000" w:themeColor="text1"/>
                <w:sz w:val="24"/>
                <w:szCs w:val="24"/>
                <w:lang w:val="en-US" w:eastAsia="zh-CN"/>
                <w14:textFill>
                  <w14:solidFill>
                    <w14:schemeClr w14:val="tx1"/>
                  </w14:solidFill>
                </w14:textFill>
              </w:rPr>
              <w:t>量</w:t>
            </w:r>
            <w:r>
              <w:rPr>
                <w:rFonts w:hint="default" w:ascii="仿宋" w:hAnsi="仿宋" w:eastAsia="仿宋" w:cs="仿宋"/>
                <w:color w:val="000000" w:themeColor="text1"/>
                <w:sz w:val="24"/>
                <w:szCs w:val="24"/>
                <w:lang w:val="en-US" w:eastAsia="zh-CN"/>
                <w14:textFill>
                  <w14:solidFill>
                    <w14:schemeClr w14:val="tx1"/>
                  </w14:solidFill>
                </w14:textFill>
              </w:rPr>
              <w:t>减少土石方的开挖</w:t>
            </w:r>
            <w:r>
              <w:rPr>
                <w:rFonts w:hint="eastAsia" w:ascii="仿宋" w:hAnsi="仿宋" w:eastAsia="仿宋" w:cs="仿宋"/>
                <w:color w:val="000000" w:themeColor="text1"/>
                <w:sz w:val="24"/>
                <w:szCs w:val="24"/>
                <w:lang w:val="en-US" w:eastAsia="zh-CN"/>
                <w14:textFill>
                  <w14:solidFill>
                    <w14:schemeClr w14:val="tx1"/>
                  </w14:solidFill>
                </w14:textFill>
              </w:rPr>
              <w:t>和</w:t>
            </w:r>
            <w:r>
              <w:rPr>
                <w:rFonts w:hint="default" w:ascii="仿宋" w:hAnsi="仿宋" w:eastAsia="仿宋" w:cs="仿宋"/>
                <w:color w:val="000000" w:themeColor="text1"/>
                <w:sz w:val="24"/>
                <w:szCs w:val="24"/>
                <w:lang w:val="en-US" w:eastAsia="zh-CN"/>
                <w14:textFill>
                  <w14:solidFill>
                    <w14:schemeClr w14:val="tx1"/>
                  </w14:solidFill>
                </w14:textFill>
              </w:rPr>
              <w:t>施工弃渣量的产生</w:t>
            </w:r>
            <w:r>
              <w:rPr>
                <w:rFonts w:hint="eastAsia" w:ascii="仿宋" w:hAnsi="仿宋" w:eastAsia="仿宋" w:cs="仿宋"/>
                <w:color w:val="000000" w:themeColor="text1"/>
                <w:sz w:val="24"/>
                <w:szCs w:val="24"/>
                <w:lang w:val="en-US" w:eastAsia="zh-CN"/>
                <w14:textFill>
                  <w14:solidFill>
                    <w14:schemeClr w14:val="tx1"/>
                  </w14:solidFill>
                </w14:textFill>
              </w:rPr>
              <w:t>，剥离的表土单独分区堆存，同步落实拦挡、苫盖、排水措施，专项用于后期植被恢复；永久弃渣须全量、及时清运至批复的规划弃渣场规范堆存，临时弃渣须设置专用堆存区并落实闭环防护，严禁随意倾倒、覆压原生植被。弃渣场严格按水保方案落实挡土墙、护坡、截排水、拦挡等全流程防护措施，严控水土流失。</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合理布置施工场地，选用先进的施工工艺，优化施工布局，尽量减少占地面积，减少植被破坏；减少建筑垃圾和生活垃圾的产生，及时清除多余的土方和石料运走生活垃圾，以减轻对植被的占压、干扰和破坏。施工完成后，对搭建的临时设施予以清除，恢复原有的地表状态。</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④合理安排施工时间及工序，土石方开挖均应避开大风天气及雨季，并尽快进行土方回填，将土壤受风蚀、水蚀的影响降至最小程度，尽量不影响附近植被正常生长。</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⑤</w:t>
            </w:r>
            <w:r>
              <w:rPr>
                <w:rFonts w:hint="eastAsia" w:ascii="仿宋" w:hAnsi="仿宋" w:eastAsia="仿宋" w:cs="仿宋"/>
                <w:color w:val="000000" w:themeColor="text1"/>
                <w:sz w:val="24"/>
                <w:szCs w:val="24"/>
                <w14:textFill>
                  <w14:solidFill>
                    <w14:schemeClr w14:val="tx1"/>
                  </w14:solidFill>
                </w14:textFill>
              </w:rPr>
              <w:t>在施工活动过程中，若遇珍稀野生植物，应立即停止施工活动，并在保护植物周围放置栅栏或警示牌，以避免对野生珍稀植物造成破坏，同时应上报林草主管部门，请示是否需采取避让、移栽等处理措施。同时加强施工管理，禁止施工现场人员随意破坏、踩踏野生植物。</w:t>
            </w:r>
          </w:p>
          <w:p>
            <w:pPr>
              <w:spacing w:line="360" w:lineRule="auto"/>
              <w:ind w:firstLine="480"/>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（3）</w:t>
            </w:r>
            <w:r>
              <w:rPr>
                <w:rFonts w:hint="eastAsia" w:ascii="仿宋" w:hAnsi="仿宋" w:eastAsia="仿宋" w:cs="仿宋"/>
                <w:b/>
                <w:bCs/>
                <w:color w:val="000000" w:themeColor="text1"/>
                <w:sz w:val="24"/>
                <w:szCs w:val="24"/>
                <w:lang w:eastAsia="zh-CN"/>
                <w14:textFill>
                  <w14:solidFill>
                    <w14:schemeClr w14:val="tx1"/>
                  </w14:solidFill>
                </w14:textFill>
              </w:rPr>
              <w:t>林地补偿措施</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建设单位</w:t>
            </w:r>
            <w:r>
              <w:rPr>
                <w:rFonts w:hint="eastAsia" w:ascii="仿宋" w:hAnsi="仿宋" w:eastAsia="仿宋" w:cs="仿宋"/>
                <w:color w:val="000000" w:themeColor="text1"/>
                <w:sz w:val="24"/>
                <w:szCs w:val="24"/>
                <w:lang w:val="en-US" w:eastAsia="zh-CN"/>
                <w14:textFill>
                  <w14:solidFill>
                    <w14:schemeClr w14:val="tx1"/>
                  </w14:solidFill>
                </w14:textFill>
              </w:rPr>
              <w:t>在</w:t>
            </w:r>
            <w:r>
              <w:rPr>
                <w:rFonts w:hint="eastAsia" w:ascii="仿宋" w:hAnsi="仿宋" w:eastAsia="仿宋" w:cs="仿宋"/>
                <w:color w:val="000000" w:themeColor="text1"/>
                <w:sz w:val="24"/>
                <w:szCs w:val="24"/>
                <w14:textFill>
                  <w14:solidFill>
                    <w14:schemeClr w14:val="tx1"/>
                  </w14:solidFill>
                </w14:textFill>
              </w:rPr>
              <w:t>工程施工前</w:t>
            </w:r>
            <w:r>
              <w:rPr>
                <w:rFonts w:hint="eastAsia" w:ascii="仿宋" w:hAnsi="仿宋" w:eastAsia="仿宋" w:cs="仿宋"/>
                <w:color w:val="000000" w:themeColor="text1"/>
                <w:sz w:val="24"/>
                <w:szCs w:val="24"/>
                <w:lang w:eastAsia="zh-CN"/>
                <w14:textFill>
                  <w14:solidFill>
                    <w14:schemeClr w14:val="tx1"/>
                  </w14:solidFill>
                </w14:textFill>
              </w:rPr>
              <w:t>依法办理林地征用手续，严格按批复的范围、限额占用林地、采伐林木，严禁未批先占、未批先伐、超范围占用；足额缴纳森林植被恢复费，严格按林业主管部门批复要求，落实异地植被恢复主体责任，确保区域林地面积不减少、森林植被功能不降低。</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eastAsia="zh-CN"/>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4）</w:t>
            </w:r>
            <w:r>
              <w:rPr>
                <w:rFonts w:hint="eastAsia" w:ascii="仿宋" w:hAnsi="仿宋" w:eastAsia="仿宋" w:cs="仿宋"/>
                <w:b/>
                <w:bCs/>
                <w:color w:val="000000" w:themeColor="text1"/>
                <w:sz w:val="24"/>
                <w:szCs w:val="24"/>
                <w14:textFill>
                  <w14:solidFill>
                    <w14:schemeClr w14:val="tx1"/>
                  </w14:solidFill>
                </w14:textFill>
              </w:rPr>
              <w:t>生态</w:t>
            </w:r>
            <w:r>
              <w:rPr>
                <w:rFonts w:hint="eastAsia" w:ascii="仿宋" w:hAnsi="仿宋" w:eastAsia="仿宋" w:cs="仿宋"/>
                <w:b/>
                <w:bCs/>
                <w:color w:val="000000" w:themeColor="text1"/>
                <w:sz w:val="24"/>
                <w:szCs w:val="24"/>
                <w:lang w:eastAsia="zh-CN"/>
                <w14:textFill>
                  <w14:solidFill>
                    <w14:schemeClr w14:val="tx1"/>
                  </w14:solidFill>
                </w14:textFill>
              </w:rPr>
              <w:t>植被</w:t>
            </w:r>
            <w:r>
              <w:rPr>
                <w:rFonts w:hint="eastAsia" w:ascii="仿宋" w:hAnsi="仿宋" w:eastAsia="仿宋" w:cs="仿宋"/>
                <w:b/>
                <w:bCs/>
                <w:color w:val="000000" w:themeColor="text1"/>
                <w:sz w:val="24"/>
                <w:szCs w:val="24"/>
                <w14:textFill>
                  <w14:solidFill>
                    <w14:schemeClr w14:val="tx1"/>
                  </w14:solidFill>
                </w14:textFill>
              </w:rPr>
              <w:t>恢复措施</w:t>
            </w:r>
          </w:p>
          <w:p>
            <w:pPr>
              <w:spacing w:line="360" w:lineRule="auto"/>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w:t>
            </w:r>
            <w:r>
              <w:rPr>
                <w:rFonts w:hint="eastAsia" w:ascii="仿宋" w:hAnsi="仿宋" w:eastAsia="仿宋" w:cs="仿宋"/>
                <w:color w:val="000000" w:themeColor="text1"/>
                <w:sz w:val="24"/>
                <w:szCs w:val="24"/>
                <w:highlight w:val="none"/>
                <w14:textFill>
                  <w14:solidFill>
                    <w14:schemeClr w14:val="tx1"/>
                  </w14:solidFill>
                </w14:textFill>
              </w:rPr>
              <w:t>妥善处理工程弃土，临时进行表层土剥离，四周设置</w:t>
            </w:r>
            <w:r>
              <w:rPr>
                <w:rFonts w:hint="eastAsia" w:ascii="仿宋" w:hAnsi="仿宋" w:eastAsia="仿宋" w:cs="仿宋"/>
                <w:color w:val="000000" w:themeColor="text1"/>
                <w:sz w:val="24"/>
                <w:szCs w:val="24"/>
                <w:highlight w:val="none"/>
                <w:lang w:val="en-US" w:eastAsia="zh-CN"/>
                <w14:textFill>
                  <w14:solidFill>
                    <w14:schemeClr w14:val="tx1"/>
                  </w14:solidFill>
                </w14:textFill>
              </w:rPr>
              <w:t>围挡</w:t>
            </w:r>
            <w:r>
              <w:rPr>
                <w:rFonts w:hint="eastAsia" w:ascii="仿宋" w:hAnsi="仿宋" w:eastAsia="仿宋" w:cs="仿宋"/>
                <w:color w:val="000000" w:themeColor="text1"/>
                <w:sz w:val="24"/>
                <w:szCs w:val="24"/>
                <w:highlight w:val="none"/>
                <w14:textFill>
                  <w14:solidFill>
                    <w14:schemeClr w14:val="tx1"/>
                  </w14:solidFill>
                </w14:textFill>
              </w:rPr>
              <w:t>，设临时挡土墙、排水沟，土地平整、使用结束后覆土恢复植被。</w:t>
            </w:r>
          </w:p>
          <w:p>
            <w:pPr>
              <w:spacing w:line="360" w:lineRule="auto"/>
              <w:ind w:firstLine="48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w:t>
            </w:r>
            <w:r>
              <w:rPr>
                <w:rFonts w:hint="eastAsia" w:ascii="仿宋" w:hAnsi="仿宋" w:eastAsia="仿宋" w:cs="仿宋"/>
                <w:color w:val="000000" w:themeColor="text1"/>
                <w:sz w:val="24"/>
                <w:szCs w:val="24"/>
                <w:highlight w:val="none"/>
                <w14:textFill>
                  <w14:solidFill>
                    <w14:schemeClr w14:val="tx1"/>
                  </w14:solidFill>
                </w14:textFill>
              </w:rPr>
              <w:t>临时占地在施工结束后要及时复耕或复植，占用的</w:t>
            </w:r>
            <w:r>
              <w:rPr>
                <w:rFonts w:hint="eastAsia" w:ascii="仿宋" w:hAnsi="仿宋" w:eastAsia="仿宋" w:cs="仿宋"/>
                <w:color w:val="000000" w:themeColor="text1"/>
                <w:sz w:val="24"/>
                <w:szCs w:val="24"/>
                <w:highlight w:val="none"/>
                <w:lang w:val="en-US" w:eastAsia="zh-CN"/>
                <w14:textFill>
                  <w14:solidFill>
                    <w14:schemeClr w14:val="tx1"/>
                  </w14:solidFill>
                </w14:textFill>
              </w:rPr>
              <w:t>森林、灌丛等植被</w:t>
            </w:r>
            <w:r>
              <w:rPr>
                <w:rFonts w:hint="eastAsia" w:ascii="仿宋" w:hAnsi="仿宋" w:eastAsia="仿宋" w:cs="仿宋"/>
                <w:color w:val="000000" w:themeColor="text1"/>
                <w:sz w:val="24"/>
                <w:szCs w:val="24"/>
                <w:highlight w:val="none"/>
                <w14:textFill>
                  <w14:solidFill>
                    <w14:schemeClr w14:val="tx1"/>
                  </w14:solidFill>
                </w14:textFill>
              </w:rPr>
              <w:t>及时恢复，不得荒废。恢复水土保持设施，减少水土保持设施面积的损失。</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③</w:t>
            </w:r>
            <w:r>
              <w:rPr>
                <w:rFonts w:hint="eastAsia" w:ascii="仿宋" w:hAnsi="仿宋" w:eastAsia="仿宋" w:cs="仿宋"/>
                <w:color w:val="000000" w:themeColor="text1"/>
                <w:sz w:val="24"/>
                <w:szCs w:val="24"/>
                <w14:textFill>
                  <w14:solidFill>
                    <w14:schemeClr w14:val="tx1"/>
                  </w14:solidFill>
                </w14:textFill>
              </w:rPr>
              <w:t>工程完工后，及时选择抗逆性强、适生性强、生快长、自我繁殖和更新能力的乡土树种、草种恢复弃土区、临时占用地及其它裸露区域的植被，切实减少水土流失，确保植被少受影响，区域景观不受大的破坏。</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④</w:t>
            </w:r>
            <w:r>
              <w:rPr>
                <w:rFonts w:hint="eastAsia" w:ascii="仿宋" w:hAnsi="仿宋" w:eastAsia="仿宋" w:cs="仿宋"/>
                <w:color w:val="000000" w:themeColor="text1"/>
                <w:sz w:val="24"/>
                <w:szCs w:val="24"/>
                <w14:textFill>
                  <w14:solidFill>
                    <w14:schemeClr w14:val="tx1"/>
                  </w14:solidFill>
                </w14:textFill>
              </w:rPr>
              <w:t>植物选择和栽种的一般原则：在项目植被恢复建设过程中除考虑选择适合当地适生速成树种、草种外，在布局上还应考虑多种树种的交错分布，既提高植物种类的多样性又不至于太大改变原来的生态组分，增强其稳定性。另外修复树种种苗的选择应经过严格检疫，防止引入病害。</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5</w:t>
            </w:r>
            <w:r>
              <w:rPr>
                <w:rFonts w:hint="eastAsia" w:ascii="仿宋" w:hAnsi="仿宋" w:eastAsia="仿宋" w:cs="仿宋"/>
                <w:b/>
                <w:bCs/>
                <w:color w:val="000000" w:themeColor="text1"/>
                <w:sz w:val="24"/>
                <w:szCs w:val="24"/>
                <w14:textFill>
                  <w14:solidFill>
                    <w14:schemeClr w14:val="tx1"/>
                  </w14:solidFill>
                </w14:textFill>
              </w:rPr>
              <w:t>）生态管理措施</w:t>
            </w:r>
          </w:p>
          <w:p>
            <w:pPr>
              <w:spacing w:line="360" w:lineRule="auto"/>
              <w:ind w:firstLine="480"/>
              <w:rPr>
                <w:rFonts w:hint="default" w:ascii="仿宋" w:hAnsi="仿宋" w:eastAsia="仿宋" w:cs="仿宋"/>
                <w:color w:val="000000" w:themeColor="text1"/>
                <w:sz w:val="24"/>
                <w:szCs w:val="24"/>
                <w:lang w:eastAsia="zh-CN"/>
                <w14:textFill>
                  <w14:solidFill>
                    <w14:schemeClr w14:val="tx1"/>
                  </w14:solidFill>
                </w14:textFill>
              </w:rPr>
            </w:pPr>
            <w:r>
              <w:rPr>
                <w:rFonts w:hint="default" w:ascii="仿宋" w:hAnsi="仿宋" w:eastAsia="仿宋" w:cs="仿宋"/>
                <w:color w:val="000000" w:themeColor="text1"/>
                <w:sz w:val="24"/>
                <w:szCs w:val="24"/>
                <w:lang w:eastAsia="zh-CN"/>
                <w14:textFill>
                  <w14:solidFill>
                    <w14:schemeClr w14:val="tx1"/>
                  </w14:solidFill>
                </w14:textFill>
              </w:rPr>
              <w:t>①建设单位和施工单位</w:t>
            </w:r>
            <w:r>
              <w:rPr>
                <w:rFonts w:hint="eastAsia" w:ascii="仿宋" w:hAnsi="仿宋" w:eastAsia="仿宋" w:cs="仿宋"/>
                <w:color w:val="000000" w:themeColor="text1"/>
                <w:sz w:val="24"/>
                <w:szCs w:val="24"/>
                <w:lang w:val="en-US" w:eastAsia="zh-CN"/>
                <w14:textFill>
                  <w14:solidFill>
                    <w14:schemeClr w14:val="tx1"/>
                  </w14:solidFill>
                </w14:textFill>
              </w:rPr>
              <w:t>应</w:t>
            </w:r>
            <w:r>
              <w:rPr>
                <w:rFonts w:hint="default" w:ascii="仿宋" w:hAnsi="仿宋" w:eastAsia="仿宋" w:cs="仿宋"/>
                <w:color w:val="000000" w:themeColor="text1"/>
                <w:sz w:val="24"/>
                <w:szCs w:val="24"/>
                <w:lang w:eastAsia="zh-CN"/>
                <w14:textFill>
                  <w14:solidFill>
                    <w14:schemeClr w14:val="tx1"/>
                  </w14:solidFill>
                </w14:textFill>
              </w:rPr>
              <w:t>严格按照施工方案进行施工</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lang w:eastAsia="zh-CN"/>
                <w14:textFill>
                  <w14:solidFill>
                    <w14:schemeClr w14:val="tx1"/>
                  </w14:solidFill>
                </w14:textFill>
              </w:rPr>
              <w:t>禁止超</w:t>
            </w:r>
            <w:r>
              <w:rPr>
                <w:rFonts w:hint="eastAsia" w:ascii="仿宋" w:hAnsi="仿宋" w:eastAsia="仿宋" w:cs="仿宋"/>
                <w:color w:val="000000" w:themeColor="text1"/>
                <w:sz w:val="24"/>
                <w:szCs w:val="24"/>
                <w:lang w:val="en-US" w:eastAsia="zh-CN"/>
                <w14:textFill>
                  <w14:solidFill>
                    <w14:schemeClr w14:val="tx1"/>
                  </w14:solidFill>
                </w14:textFill>
              </w:rPr>
              <w:t>范围</w:t>
            </w:r>
            <w:r>
              <w:rPr>
                <w:rFonts w:hint="default" w:ascii="仿宋" w:hAnsi="仿宋" w:eastAsia="仿宋" w:cs="仿宋"/>
                <w:color w:val="000000" w:themeColor="text1"/>
                <w:sz w:val="24"/>
                <w:szCs w:val="24"/>
                <w:lang w:eastAsia="zh-CN"/>
                <w14:textFill>
                  <w14:solidFill>
                    <w14:schemeClr w14:val="tx1"/>
                  </w14:solidFill>
                </w14:textFill>
              </w:rPr>
              <w:t>占用土地和破坏植被，</w:t>
            </w:r>
            <w:r>
              <w:rPr>
                <w:rFonts w:hint="eastAsia" w:ascii="仿宋" w:hAnsi="仿宋" w:eastAsia="仿宋" w:cs="仿宋"/>
                <w:color w:val="000000" w:themeColor="text1"/>
                <w:sz w:val="24"/>
                <w:szCs w:val="24"/>
                <w:lang w:val="en-US" w:eastAsia="zh-CN"/>
                <w14:textFill>
                  <w14:solidFill>
                    <w14:schemeClr w14:val="tx1"/>
                  </w14:solidFill>
                </w14:textFill>
              </w:rPr>
              <w:t>禁止越界施工，</w:t>
            </w:r>
            <w:r>
              <w:rPr>
                <w:rFonts w:hint="default" w:ascii="仿宋" w:hAnsi="仿宋" w:eastAsia="仿宋" w:cs="仿宋"/>
                <w:color w:val="000000" w:themeColor="text1"/>
                <w:sz w:val="24"/>
                <w:szCs w:val="24"/>
                <w:lang w:eastAsia="zh-CN"/>
                <w14:textFill>
                  <w14:solidFill>
                    <w14:schemeClr w14:val="tx1"/>
                  </w14:solidFill>
                </w14:textFill>
              </w:rPr>
              <w:t>土石方开挖料及时回填，</w:t>
            </w:r>
            <w:r>
              <w:rPr>
                <w:rFonts w:hint="eastAsia" w:ascii="仿宋" w:hAnsi="仿宋" w:eastAsia="仿宋" w:cs="仿宋"/>
                <w:color w:val="000000" w:themeColor="text1"/>
                <w:sz w:val="24"/>
                <w:szCs w:val="24"/>
                <w:lang w:val="en-US" w:eastAsia="zh-CN"/>
                <w14:textFill>
                  <w14:solidFill>
                    <w14:schemeClr w14:val="tx1"/>
                  </w14:solidFill>
                </w14:textFill>
              </w:rPr>
              <w:t>永久</w:t>
            </w:r>
            <w:r>
              <w:rPr>
                <w:rFonts w:hint="default" w:ascii="仿宋" w:hAnsi="仿宋" w:eastAsia="仿宋" w:cs="仿宋"/>
                <w:color w:val="000000" w:themeColor="text1"/>
                <w:sz w:val="24"/>
                <w:szCs w:val="24"/>
                <w:lang w:eastAsia="zh-CN"/>
                <w14:textFill>
                  <w14:solidFill>
                    <w14:schemeClr w14:val="tx1"/>
                  </w14:solidFill>
                </w14:textFill>
              </w:rPr>
              <w:t>弃渣必须运到指定的位置进行堆放，</w:t>
            </w:r>
            <w:r>
              <w:rPr>
                <w:rFonts w:hint="eastAsia" w:ascii="仿宋" w:hAnsi="仿宋" w:eastAsia="仿宋" w:cs="仿宋"/>
                <w:color w:val="000000" w:themeColor="text1"/>
                <w:sz w:val="24"/>
                <w:szCs w:val="24"/>
                <w14:textFill>
                  <w14:solidFill>
                    <w14:schemeClr w14:val="tx1"/>
                  </w14:solidFill>
                </w14:textFill>
              </w:rPr>
              <w:t>严禁沿道路、风机机位两侧山坡及林地内随意倾倒</w:t>
            </w:r>
            <w:r>
              <w:rPr>
                <w:rFonts w:hint="default" w:ascii="仿宋" w:hAnsi="仿宋" w:eastAsia="仿宋" w:cs="仿宋"/>
                <w:color w:val="000000" w:themeColor="text1"/>
                <w:sz w:val="24"/>
                <w:szCs w:val="24"/>
                <w:lang w:eastAsia="zh-CN"/>
                <w14:textFill>
                  <w14:solidFill>
                    <w14:schemeClr w14:val="tx1"/>
                  </w14:solidFill>
                </w14:textFill>
              </w:rPr>
              <w:t>。</w:t>
            </w:r>
          </w:p>
          <w:p>
            <w:pPr>
              <w:spacing w:line="360" w:lineRule="auto"/>
              <w:ind w:firstLine="480"/>
              <w:rPr>
                <w:rFonts w:hint="default" w:ascii="仿宋" w:hAnsi="仿宋" w:eastAsia="仿宋" w:cs="仿宋"/>
                <w:color w:val="000000" w:themeColor="text1"/>
                <w:sz w:val="24"/>
                <w:szCs w:val="24"/>
                <w:lang w:eastAsia="zh-CN"/>
                <w14:textFill>
                  <w14:solidFill>
                    <w14:schemeClr w14:val="tx1"/>
                  </w14:solidFill>
                </w14:textFill>
              </w:rPr>
            </w:pPr>
            <w:r>
              <w:rPr>
                <w:rFonts w:hint="default" w:ascii="仿宋" w:hAnsi="仿宋" w:eastAsia="仿宋" w:cs="仿宋"/>
                <w:color w:val="000000" w:themeColor="text1"/>
                <w:sz w:val="24"/>
                <w:szCs w:val="24"/>
                <w:lang w:eastAsia="zh-CN"/>
                <w14:textFill>
                  <w14:solidFill>
                    <w14:schemeClr w14:val="tx1"/>
                  </w14:solidFill>
                </w14:textFill>
              </w:rPr>
              <w:t>②</w:t>
            </w:r>
            <w:r>
              <w:rPr>
                <w:rFonts w:hint="default" w:ascii="仿宋" w:hAnsi="仿宋" w:eastAsia="仿宋" w:cs="仿宋"/>
                <w:color w:val="000000" w:themeColor="text1"/>
                <w:sz w:val="24"/>
                <w:szCs w:val="24"/>
                <w14:textFill>
                  <w14:solidFill>
                    <w14:schemeClr w14:val="tx1"/>
                  </w14:solidFill>
                </w14:textFill>
              </w:rPr>
              <w:t>在植被恢复及绿化过程中，选择</w:t>
            </w:r>
            <w:r>
              <w:rPr>
                <w:rFonts w:hint="default" w:ascii="仿宋" w:hAnsi="仿宋" w:eastAsia="仿宋" w:cs="仿宋"/>
                <w:color w:val="000000" w:themeColor="text1"/>
                <w:sz w:val="24"/>
                <w:szCs w:val="24"/>
                <w:lang w:val="en-US" w:eastAsia="zh-CN"/>
                <w14:textFill>
                  <w14:solidFill>
                    <w14:schemeClr w14:val="tx1"/>
                  </w14:solidFill>
                </w14:textFill>
              </w:rPr>
              <w:t>项目</w:t>
            </w:r>
            <w:r>
              <w:rPr>
                <w:rFonts w:hint="eastAsia" w:ascii="仿宋" w:hAnsi="仿宋" w:eastAsia="仿宋" w:cs="仿宋"/>
                <w:color w:val="000000" w:themeColor="text1"/>
                <w:sz w:val="24"/>
                <w:szCs w:val="24"/>
                <w:lang w:val="en-US" w:eastAsia="zh-CN"/>
                <w14:textFill>
                  <w14:solidFill>
                    <w14:schemeClr w14:val="tx1"/>
                  </w14:solidFill>
                </w14:textFill>
              </w:rPr>
              <w:t>区</w:t>
            </w:r>
            <w:r>
              <w:rPr>
                <w:rFonts w:hint="default" w:ascii="仿宋" w:hAnsi="仿宋" w:eastAsia="仿宋" w:cs="仿宋"/>
                <w:color w:val="000000" w:themeColor="text1"/>
                <w:sz w:val="24"/>
                <w:szCs w:val="24"/>
                <w:lang w:val="en-US" w:eastAsia="zh-CN"/>
                <w14:textFill>
                  <w14:solidFill>
                    <w14:schemeClr w14:val="tx1"/>
                  </w14:solidFill>
                </w14:textFill>
              </w:rPr>
              <w:t>原生植物种类、</w:t>
            </w:r>
            <w:r>
              <w:rPr>
                <w:rFonts w:hint="default" w:ascii="仿宋" w:hAnsi="仿宋" w:eastAsia="仿宋" w:cs="仿宋"/>
                <w:color w:val="000000" w:themeColor="text1"/>
                <w:sz w:val="24"/>
                <w:szCs w:val="24"/>
                <w14:textFill>
                  <w14:solidFill>
                    <w14:schemeClr w14:val="tx1"/>
                  </w14:solidFill>
                </w14:textFill>
              </w:rPr>
              <w:t>乡土树种及适合当地环境的植物，并注意乔灌搭配的原则，同时要与周围的自然景观相协调统一</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避免引入外来入侵物种</w:t>
            </w: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优先选用项目区原生的云南松、坡柳、马桑、火棘等乡土乔灌物种，严禁引入外来入侵物种。植被恢复需与原生群落结构、周边自然景观相协调</w:t>
            </w:r>
            <w:r>
              <w:rPr>
                <w:rFonts w:hint="default" w:ascii="仿宋" w:hAnsi="仿宋" w:eastAsia="仿宋" w:cs="仿宋"/>
                <w:color w:val="000000" w:themeColor="text1"/>
                <w:sz w:val="24"/>
                <w:szCs w:val="24"/>
                <w14:textFill>
                  <w14:solidFill>
                    <w14:schemeClr w14:val="tx1"/>
                  </w14:solidFill>
                </w14:textFill>
              </w:rPr>
              <w:t>。</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工程建设施工期、运行期都应进行生态影响的监测或调查。在施工期，主要对建设施工有关的区域进行监测；运行期主要监测生境的变化，植被的变化，野生动物的种群、数量变化、生态系统整体性变化以及外来生物入侵情况以及厂区影响范围内鸟类的跟踪监测。通过监测，加强对生态的管理，在工程管理机构，应设置生态环境管理人员，建立各种管理及报告制度，开展对工程影响区的环境教育，提高施工人员和管理人员环境意识。通过动态生态监测和完善管理，使保护区生态向良性或有利方向发展。</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1.2动物保护措施</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（1）避让与减缓措施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开展施工人员生态环境保护的宣传教育工作，提高施工人员的保护意识，严禁捕猎野生动物。在施工的过程中，施工人员仍必须遵守《中华人民共和国野生动物保护法》，严禁在施工区及其周围捕猎野生动物。在进场施工前，组织施工人员学习有关国家法律和法规，学习识别国家保护动物，对故意捕获野生动物的个人和组织要建大打击力度，确保野生动物的保护落实到每一个环节。</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②控制工程施工时段和方式，防治噪声对野生动物的惊扰。采用低噪声设备、注意机械保养、运输车辆限速、禁鸣等措施，降低噪声、振动对周边动物的影响。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w:t>
            </w:r>
            <w:r>
              <w:rPr>
                <w:rFonts w:hint="default" w:ascii="仿宋" w:hAnsi="仿宋" w:eastAsia="仿宋" w:cs="仿宋"/>
                <w:color w:val="000000" w:themeColor="text1"/>
                <w:sz w:val="24"/>
                <w:szCs w:val="24"/>
                <w:lang w:eastAsia="zh-CN"/>
                <w14:textFill>
                  <w14:solidFill>
                    <w14:schemeClr w14:val="tx1"/>
                  </w14:solidFill>
                </w14:textFill>
              </w:rPr>
              <w:t>施工活动严格避让冲沟、洼地、常年有水溪谷等两栖爬行动物的核心栖息、繁殖水域，严禁向上述区域排放施工废水、倾倒弃渣废料，完整保护水生栖息环境</w:t>
            </w:r>
            <w:r>
              <w:rPr>
                <w:rFonts w:hint="eastAsia" w:ascii="仿宋" w:hAnsi="仿宋" w:eastAsia="仿宋" w:cs="仿宋"/>
                <w:color w:val="000000" w:themeColor="text1"/>
                <w:sz w:val="24"/>
                <w:szCs w:val="24"/>
                <w:lang w:eastAsia="zh-CN"/>
                <w14:textFill>
                  <w14:solidFill>
                    <w14:schemeClr w14:val="tx1"/>
                  </w14:solidFill>
                </w14:textFill>
              </w:rPr>
              <w:t>；</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④当发现珍稀保护野生动物时，应向当地主管部门汇报，并做好记录，根据野生动物的活动规律和主管部门的意见，必要时设置动物活动通道。施工期间如误伤野生动物，应立即送往当地动物医院进行抢救。</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⑤对施工人员作必要的生态保护宣传教育。禁止将污水、垃圾及其它施工机械的废油等污染物随意丢弃，应收集后和就近的施工生产生活区的污染物一并处理。</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⑥施工期重点关注风机机位周边鸟类活动情况，发现鸟类集群栖息行为及时调整施工时序；发生鸟撞、野生动物受伤/死亡事件，第一时间上报属地林业和草原主管部门，严禁私自处置</w:t>
            </w:r>
            <w:r>
              <w:rPr>
                <w:rFonts w:hint="default" w:ascii="仿宋" w:hAnsi="仿宋" w:eastAsia="仿宋" w:cs="仿宋"/>
                <w:color w:val="000000" w:themeColor="text1"/>
                <w:sz w:val="24"/>
                <w:szCs w:val="24"/>
                <w:lang w:eastAsia="zh-CN"/>
                <w14:textFill>
                  <w14:solidFill>
                    <w14:schemeClr w14:val="tx1"/>
                  </w14:solidFill>
                </w14:textFill>
              </w:rPr>
              <w:t>。</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（2）生态恢复与补偿措施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施工期产生的建筑垃圾及时清运，堆放至固定场所，施工结束后，对施工扰动区域进行植被恢复；工程完工后尽快做好生态环境的恢复工作，以尽量减少生境破坏对动物的不利影响。</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（3）生态管理措施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在工程建设和运行中应加强野生动物管理、保护和监测，在堤防工程管理机构中设置相应的环境保护管理机构，配备专业管理人员，确保工程施工期和运行期中各项野生动物保护政策法规的贯彻以及环保措施落实，负责组织、落实、监督本工程的野生动物保护措施；组织施工期环境监测，以确保工程环境保护目标的实现，野生动物的生存不受到威胁。</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1.3生物多样性保护措施</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①</w:t>
            </w:r>
            <w:r>
              <w:rPr>
                <w:rFonts w:hint="default" w:ascii="仿宋" w:hAnsi="仿宋" w:eastAsia="仿宋" w:cs="仿宋"/>
                <w:color w:val="000000" w:themeColor="text1"/>
                <w:sz w:val="24"/>
                <w:szCs w:val="24"/>
                <w:lang w:val="en-US" w:eastAsia="zh-CN"/>
                <w14:textFill>
                  <w14:solidFill>
                    <w14:schemeClr w14:val="tx1"/>
                  </w14:solidFill>
                </w14:textFill>
              </w:rPr>
              <w:t>严格控制施工范围，坚守生态保护红线严禁非法占用的核心原则。距离生态保护红线较近且涉及基础开挖的工程区须在生态保护红线侧设置围栏或施工警戒线，并设置保护生态红线的标识标牌，预留一定安全距离和施工空间，将工程施工及扰动范围控制在项目用地红线范围，禁止越线开发。</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②</w:t>
            </w:r>
            <w:r>
              <w:rPr>
                <w:rFonts w:hint="default" w:ascii="仿宋" w:hAnsi="仿宋" w:eastAsia="仿宋" w:cs="仿宋"/>
                <w:color w:val="000000" w:themeColor="text1"/>
                <w:sz w:val="24"/>
                <w:szCs w:val="24"/>
                <w:lang w:val="en-US" w:eastAsia="zh-CN"/>
                <w14:textFill>
                  <w14:solidFill>
                    <w14:schemeClr w14:val="tx1"/>
                  </w14:solidFill>
                </w14:textFill>
              </w:rPr>
              <w:t>禁止在生态保护红线范围内存放建筑垃圾和生活垃圾，建筑垃圾、生态垃圾等固体废物，禁止向生态保护红线内排放生活污水和施工废水。</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③</w:t>
            </w:r>
            <w:r>
              <w:rPr>
                <w:rFonts w:hint="default" w:ascii="仿宋" w:hAnsi="仿宋" w:eastAsia="仿宋" w:cs="仿宋"/>
                <w:color w:val="000000" w:themeColor="text1"/>
                <w:sz w:val="24"/>
                <w:szCs w:val="24"/>
                <w:lang w:val="en-US" w:eastAsia="zh-CN"/>
                <w14:textFill>
                  <w14:solidFill>
                    <w14:schemeClr w14:val="tx1"/>
                  </w14:solidFill>
                </w14:textFill>
              </w:rPr>
              <w:t>加强施工人员生态保护教育，严禁捕猎、捕食野生动物和随意砍伐、践踏植被。</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④</w:t>
            </w:r>
            <w:r>
              <w:rPr>
                <w:rFonts w:hint="default" w:ascii="仿宋" w:hAnsi="仿宋" w:eastAsia="仿宋" w:cs="仿宋"/>
                <w:color w:val="000000" w:themeColor="text1"/>
                <w:sz w:val="24"/>
                <w:szCs w:val="24"/>
                <w:lang w:val="en-US" w:eastAsia="zh-CN"/>
                <w14:textFill>
                  <w14:solidFill>
                    <w14:schemeClr w14:val="tx1"/>
                  </w14:solidFill>
                </w14:textFill>
              </w:rPr>
              <w:t>严格落实水保方案提出的水土保持措施，将项目建设产生的水土流失影响控制在可接受范围内。</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1.4生态景观环境影响减缓措施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（1）施工过程中，文明施工，有序作业，尽量减少植被的损失。</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（2）尽量缩短施工期，使土壤暴露时间缩短，并快速回填。</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）施工完成后，及时进行施工迹地恢复，一定程度上减少项目施工对景观影响。</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1.5水土流失减缓措施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工程建设生产中，必须坚持“预防为主，防治结合”的水土保持工作方针，把预防控制放在水土保持工作的首位，施工期落实水土保持 “三同时” 制度，场内道路、风机基础边坡设置截水沟、排水沟，拦截地表径流；弃渣场、堆土场设置挡渣墙、防渗层，防止弃渣流失、土壤侵蚀；施工场地设置临时沉砂池、沉淀池，收集处理施工废水，避免泥沙入周边水体；土石方开挖、回填采取分层作业、随挖随填，减少裸露时间，严控水土流失。</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2、施工期水污染防治措施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（1）尽量避免雨季进行大规模的地面开挖作业，暴雨期间停止地基开挖等扰动地表类的施工，禁止任何施工废水排入周边地表水。</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（2）严格落实水土保持措施，按水土保持方案提出的要求，选择好</w:t>
            </w:r>
            <w:r>
              <w:rPr>
                <w:rFonts w:hint="eastAsia" w:ascii="仿宋" w:hAnsi="仿宋" w:eastAsia="仿宋" w:cs="仿宋"/>
                <w:color w:val="000000" w:themeColor="text1"/>
                <w:sz w:val="24"/>
                <w:szCs w:val="24"/>
                <w:lang w:eastAsia="zh-CN"/>
                <w14:textFill>
                  <w14:solidFill>
                    <w14:schemeClr w14:val="tx1"/>
                  </w14:solidFill>
                </w14:textFill>
              </w:rPr>
              <w:t>堆土场</w:t>
            </w:r>
            <w:r>
              <w:rPr>
                <w:rFonts w:hint="eastAsia" w:ascii="仿宋" w:hAnsi="仿宋" w:eastAsia="仿宋" w:cs="仿宋"/>
                <w:color w:val="000000" w:themeColor="text1"/>
                <w:sz w:val="24"/>
                <w:szCs w:val="24"/>
                <w14:textFill>
                  <w14:solidFill>
                    <w14:schemeClr w14:val="tx1"/>
                  </w14:solidFill>
                </w14:textFill>
              </w:rPr>
              <w:t>，并建设拦挡、覆盖等水土防护措施，在</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周边和场内建设排水沟、沉砂池，施工过程中区域冲刷产生的初期雨水经排水沟引入沉砂池沉淀处理后，可回用于施工过程及场地洒水降尘，回用不完的部分再流至附近自然沟渠。</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（3）加强管理，做好施工机械的日常维修，杜绝跑、冒、滴、漏现象，雨天应对各类机械、粉状物料进行遮盖防雨，尽量减小施工期降雨冲刷产生的影响。</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r>
              <w:rPr>
                <w:rFonts w:hint="default" w:ascii="仿宋" w:hAnsi="仿宋" w:eastAsia="仿宋" w:cs="仿宋"/>
                <w:color w:val="000000" w:themeColor="text1"/>
                <w:sz w:val="24"/>
                <w:szCs w:val="24"/>
                <w:lang w:val="en-US" w:eastAsia="zh-CN"/>
                <w14:textFill>
                  <w14:solidFill>
                    <w14:schemeClr w14:val="tx1"/>
                  </w14:solidFill>
                </w14:textFill>
              </w:rPr>
              <w:t>在施工现场设置临时</w:t>
            </w:r>
            <w:r>
              <w:rPr>
                <w:rFonts w:hint="eastAsia" w:ascii="仿宋" w:hAnsi="仿宋" w:eastAsia="仿宋" w:cs="仿宋"/>
                <w:color w:val="000000" w:themeColor="text1"/>
                <w:sz w:val="24"/>
                <w:szCs w:val="24"/>
                <w:lang w:val="en-US" w:eastAsia="zh-CN"/>
                <w14:textFill>
                  <w14:solidFill>
                    <w14:schemeClr w14:val="tx1"/>
                  </w14:solidFill>
                </w14:textFill>
              </w:rPr>
              <w:t>移动厕所</w:t>
            </w:r>
            <w:r>
              <w:rPr>
                <w:rFonts w:hint="default" w:ascii="仿宋" w:hAnsi="仿宋" w:eastAsia="仿宋" w:cs="仿宋"/>
                <w:color w:val="000000" w:themeColor="text1"/>
                <w:sz w:val="24"/>
                <w:szCs w:val="24"/>
                <w:lang w:val="en-US" w:eastAsia="zh-CN"/>
                <w14:textFill>
                  <w14:solidFill>
                    <w14:schemeClr w14:val="tx1"/>
                  </w14:solidFill>
                </w14:textFill>
              </w:rPr>
              <w:t>，</w:t>
            </w:r>
            <w:r>
              <w:rPr>
                <w:rFonts w:hint="default" w:ascii="仿宋" w:hAnsi="仿宋" w:eastAsia="仿宋" w:cs="仿宋"/>
                <w:color w:val="000000" w:themeColor="text1"/>
                <w:sz w:val="24"/>
                <w:szCs w:val="24"/>
                <w14:textFill>
                  <w14:solidFill>
                    <w14:schemeClr w14:val="tx1"/>
                  </w14:solidFill>
                </w14:textFill>
              </w:rPr>
              <w:t>用于收集</w:t>
            </w:r>
            <w:r>
              <w:rPr>
                <w:rFonts w:hint="default" w:ascii="仿宋" w:hAnsi="仿宋" w:eastAsia="仿宋" w:cs="仿宋"/>
                <w:color w:val="000000" w:themeColor="text1"/>
                <w:sz w:val="24"/>
                <w:szCs w:val="24"/>
                <w:lang w:val="en-US" w:eastAsia="zh-CN"/>
                <w14:textFill>
                  <w14:solidFill>
                    <w14:schemeClr w14:val="tx1"/>
                  </w14:solidFill>
                </w14:textFill>
              </w:rPr>
              <w:t>施工现场人员产生的</w:t>
            </w:r>
            <w:r>
              <w:rPr>
                <w:rFonts w:hint="default" w:ascii="仿宋" w:hAnsi="仿宋" w:eastAsia="仿宋" w:cs="仿宋"/>
                <w:color w:val="000000" w:themeColor="text1"/>
                <w:sz w:val="24"/>
                <w:szCs w:val="24"/>
                <w14:textFill>
                  <w14:solidFill>
                    <w14:schemeClr w14:val="tx1"/>
                  </w14:solidFill>
                </w14:textFill>
              </w:rPr>
              <w:t>粪便，</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default" w:ascii="仿宋" w:hAnsi="仿宋" w:eastAsia="仿宋" w:cs="仿宋"/>
                <w:color w:val="000000" w:themeColor="text1"/>
                <w:sz w:val="24"/>
                <w:szCs w:val="24"/>
                <w14:textFill>
                  <w14:solidFill>
                    <w14:schemeClr w14:val="tx1"/>
                  </w14:solidFill>
                </w14:textFill>
              </w:rPr>
              <w:t>施工期先进行</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default" w:ascii="仿宋" w:hAnsi="仿宋" w:eastAsia="仿宋" w:cs="仿宋"/>
                <w:color w:val="000000" w:themeColor="text1"/>
                <w:sz w:val="24"/>
                <w:szCs w:val="24"/>
                <w14:textFill>
                  <w14:solidFill>
                    <w14:schemeClr w14:val="tx1"/>
                  </w14:solidFill>
                </w14:textFill>
              </w:rPr>
              <w:t>化粪池建设，方便施工现场及临时施工场地生活污水收集处理</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施工现场生活污水</w:t>
            </w:r>
            <w:r>
              <w:rPr>
                <w:rFonts w:hint="default" w:ascii="仿宋" w:hAnsi="仿宋" w:eastAsia="仿宋" w:cs="仿宋"/>
                <w:color w:val="000000" w:themeColor="text1"/>
                <w:sz w:val="24"/>
                <w:szCs w:val="24"/>
                <w14:textFill>
                  <w14:solidFill>
                    <w14:schemeClr w14:val="tx1"/>
                  </w14:solidFill>
                </w14:textFill>
              </w:rPr>
              <w:t>定期委托</w:t>
            </w:r>
            <w:r>
              <w:rPr>
                <w:rFonts w:hint="eastAsia" w:ascii="仿宋" w:hAnsi="仿宋" w:eastAsia="仿宋" w:cs="仿宋"/>
                <w:color w:val="000000" w:themeColor="text1"/>
                <w:sz w:val="24"/>
                <w:szCs w:val="24"/>
                <w:lang w:val="en-US" w:eastAsia="zh-CN"/>
                <w14:textFill>
                  <w14:solidFill>
                    <w14:schemeClr w14:val="tx1"/>
                  </w14:solidFill>
                </w14:textFill>
              </w:rPr>
              <w:t>周边村民清掏，不外排</w:t>
            </w:r>
            <w:r>
              <w:rPr>
                <w:rFonts w:hint="default" w:ascii="仿宋" w:hAnsi="仿宋" w:eastAsia="仿宋" w:cs="仿宋"/>
                <w:color w:val="000000" w:themeColor="text1"/>
                <w:sz w:val="24"/>
                <w:szCs w:val="24"/>
                <w14:textFill>
                  <w14:solidFill>
                    <w14:schemeClr w14:val="tx1"/>
                  </w14:solidFill>
                </w14:textFill>
              </w:rPr>
              <w:t>。工程结束后对</w:t>
            </w:r>
            <w:r>
              <w:rPr>
                <w:rFonts w:hint="eastAsia" w:ascii="仿宋" w:hAnsi="仿宋" w:eastAsia="仿宋" w:cs="仿宋"/>
                <w:color w:val="000000" w:themeColor="text1"/>
                <w:sz w:val="24"/>
                <w:szCs w:val="24"/>
                <w:lang w:val="en-US" w:eastAsia="zh-CN"/>
                <w14:textFill>
                  <w14:solidFill>
                    <w14:schemeClr w14:val="tx1"/>
                  </w14:solidFill>
                </w14:textFill>
              </w:rPr>
              <w:t>移动厕所</w:t>
            </w:r>
            <w:r>
              <w:rPr>
                <w:rFonts w:hint="default" w:ascii="仿宋" w:hAnsi="仿宋" w:eastAsia="仿宋" w:cs="仿宋"/>
                <w:color w:val="000000" w:themeColor="text1"/>
                <w:sz w:val="24"/>
                <w:szCs w:val="24"/>
                <w14:textFill>
                  <w14:solidFill>
                    <w14:schemeClr w14:val="tx1"/>
                  </w14:solidFill>
                </w14:textFill>
              </w:rPr>
              <w:t>进行拆除、无害化处置</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开关站化粪池用于运营期生活污水预处理。</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）做好施工期管理，禁止向水体排放、倾倒垃圾、弃土、弃渣，禁止排放未经处理的钻浆等废弃物。</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3、施工期大气污染防治措施</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default" w:ascii="仿宋" w:hAnsi="仿宋" w:eastAsia="仿宋" w:cs="仿宋"/>
                <w:color w:val="000000" w:themeColor="text1"/>
                <w:sz w:val="24"/>
                <w:szCs w:val="24"/>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采取湿法作业，</w:t>
            </w:r>
            <w:r>
              <w:rPr>
                <w:rFonts w:hint="default" w:ascii="仿宋" w:hAnsi="仿宋" w:eastAsia="仿宋" w:cs="仿宋"/>
                <w:color w:val="000000" w:themeColor="text1"/>
                <w:sz w:val="24"/>
                <w:szCs w:val="24"/>
                <w14:textFill>
                  <w14:solidFill>
                    <w14:schemeClr w14:val="tx1"/>
                  </w14:solidFill>
                </w14:textFill>
              </w:rPr>
              <w:t>施工场地</w:t>
            </w:r>
            <w:r>
              <w:rPr>
                <w:rFonts w:hint="eastAsia" w:ascii="仿宋" w:hAnsi="仿宋" w:eastAsia="仿宋" w:cs="仿宋"/>
                <w:color w:val="000000" w:themeColor="text1"/>
                <w:sz w:val="24"/>
                <w:szCs w:val="24"/>
                <w:lang w:val="en-US" w:eastAsia="zh-CN"/>
                <w14:textFill>
                  <w14:solidFill>
                    <w14:schemeClr w14:val="tx1"/>
                  </w14:solidFill>
                </w14:textFill>
              </w:rPr>
              <w:t>及场内运输道路</w:t>
            </w:r>
            <w:r>
              <w:rPr>
                <w:rFonts w:hint="default" w:ascii="仿宋" w:hAnsi="仿宋" w:eastAsia="仿宋" w:cs="仿宋"/>
                <w:color w:val="000000" w:themeColor="text1"/>
                <w:sz w:val="24"/>
                <w:szCs w:val="24"/>
                <w14:textFill>
                  <w14:solidFill>
                    <w14:schemeClr w14:val="tx1"/>
                  </w14:solidFill>
                </w14:textFill>
              </w:rPr>
              <w:t>采取洒水降尘措施，若遇大风或干燥天气，可适当增加洒水次数，最大限度减少扬尘量。</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default" w:ascii="仿宋" w:hAnsi="仿宋" w:eastAsia="仿宋" w:cs="仿宋"/>
                <w:color w:val="000000" w:themeColor="text1"/>
                <w:sz w:val="24"/>
                <w:szCs w:val="24"/>
                <w14:textFill>
                  <w14:solidFill>
                    <w14:schemeClr w14:val="tx1"/>
                  </w14:solidFill>
                </w14:textFill>
              </w:rPr>
              <w:t>）施工期间剥离表土、开挖产生的土石方及工地内的散体材料应采取集中堆存、土工布覆盖等防护措施，防止施工中产生的尘土飞扬及废弃物、杂物飘散。</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default" w:ascii="仿宋" w:hAnsi="仿宋" w:eastAsia="仿宋" w:cs="仿宋"/>
                <w:color w:val="000000" w:themeColor="text1"/>
                <w:sz w:val="24"/>
                <w:szCs w:val="24"/>
                <w14:textFill>
                  <w14:solidFill>
                    <w14:schemeClr w14:val="tx1"/>
                  </w14:solidFill>
                </w14:textFill>
              </w:rPr>
              <w:t>）严格控制施工期间运输车辆的装载量，避免超载运输；运输车辆的车厢应当确保牢固、严密，严禁在装运过程中沿途抛、洒、滴、漏。运输车辆经过沿途居民点时注意控制车速，减速慢行，防止高速行车时产生大量扬尘。</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default" w:ascii="仿宋" w:hAnsi="仿宋" w:eastAsia="仿宋" w:cs="仿宋"/>
                <w:color w:val="000000" w:themeColor="text1"/>
                <w:sz w:val="24"/>
                <w:szCs w:val="24"/>
                <w14:textFill>
                  <w14:solidFill>
                    <w14:schemeClr w14:val="tx1"/>
                  </w14:solidFill>
                </w14:textFill>
              </w:rPr>
              <w:t>）施工场地应设专职人员负责扬尘控制措施的实施和监督，负责逸散性材料、渣土、裸露地面的遮蔽、覆盖和洒水作业。</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default" w:ascii="仿宋" w:hAnsi="仿宋" w:eastAsia="仿宋" w:cs="仿宋"/>
                <w:color w:val="000000" w:themeColor="text1"/>
                <w:sz w:val="24"/>
                <w:szCs w:val="24"/>
                <w14:textFill>
                  <w14:solidFill>
                    <w14:schemeClr w14:val="tx1"/>
                  </w14:solidFill>
                </w14:textFill>
              </w:rPr>
              <w:t>）场内道路修建后，应及时完成表面石渣铺设，尽量压实，减轻施工运输扬尘。施工过程中应保持运输道路平整及整洁，设立施工道路养护、维修、清扫专职人员，保持道路清洁、运行状态良好。</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default" w:ascii="仿宋" w:hAnsi="仿宋" w:eastAsia="仿宋" w:cs="仿宋"/>
                <w:color w:val="000000" w:themeColor="text1"/>
                <w:sz w:val="24"/>
                <w:szCs w:val="24"/>
                <w14:textFill>
                  <w14:solidFill>
                    <w14:schemeClr w14:val="tx1"/>
                  </w14:solidFill>
                </w14:textFill>
              </w:rPr>
              <w:t>）建设工程完工后，施工单位应将工地及四周环境清理整洁，做到工完、料净、场</w:t>
            </w:r>
            <w:r>
              <w:rPr>
                <w:rFonts w:hint="eastAsia" w:ascii="仿宋" w:hAnsi="仿宋" w:eastAsia="仿宋" w:cs="仿宋"/>
                <w:color w:val="000000" w:themeColor="text1"/>
                <w:sz w:val="24"/>
                <w:szCs w:val="24"/>
                <w:lang w:eastAsia="zh-CN"/>
                <w14:textFill>
                  <w14:solidFill>
                    <w14:schemeClr w14:val="tx1"/>
                  </w14:solidFill>
                </w14:textFill>
              </w:rPr>
              <w:t>地清</w:t>
            </w:r>
            <w:r>
              <w:rPr>
                <w:rFonts w:hint="default" w:ascii="仿宋" w:hAnsi="仿宋" w:eastAsia="仿宋" w:cs="仿宋"/>
                <w:color w:val="000000" w:themeColor="text1"/>
                <w:sz w:val="24"/>
                <w:szCs w:val="24"/>
                <w14:textFill>
                  <w14:solidFill>
                    <w14:schemeClr w14:val="tx1"/>
                  </w14:solidFill>
                </w14:textFill>
              </w:rPr>
              <w:t>洁</w:t>
            </w:r>
            <w:r>
              <w:rPr>
                <w:rFonts w:hint="default" w:ascii="仿宋" w:hAnsi="仿宋" w:eastAsia="仿宋" w:cs="仿宋"/>
                <w:color w:val="000000" w:themeColor="text1"/>
                <w:sz w:val="24"/>
                <w:szCs w:val="24"/>
                <w:lang w:eastAsia="zh-CN"/>
                <w14:textFill>
                  <w14:solidFill>
                    <w14:schemeClr w14:val="tx1"/>
                  </w14:solidFill>
                </w14:textFill>
              </w:rPr>
              <w:t>。</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default" w:ascii="仿宋" w:hAnsi="仿宋" w:eastAsia="仿宋" w:cs="仿宋"/>
                <w:color w:val="000000" w:themeColor="text1"/>
                <w:sz w:val="24"/>
                <w:szCs w:val="24"/>
                <w14:textFill>
                  <w14:solidFill>
                    <w14:schemeClr w14:val="tx1"/>
                  </w14:solidFill>
                </w14:textFill>
              </w:rPr>
              <w:t>）选择尾气排放达到国家排放标准的施工机械设备和运输车辆，并加强施工机械和运输车辆的维护和保养</w:t>
            </w:r>
            <w:r>
              <w:rPr>
                <w:rFonts w:hint="default" w:ascii="仿宋" w:hAnsi="仿宋" w:eastAsia="仿宋" w:cs="仿宋"/>
                <w:color w:val="000000" w:themeColor="text1"/>
                <w:sz w:val="24"/>
                <w:szCs w:val="24"/>
                <w:lang w:eastAsia="zh-CN"/>
                <w14:textFill>
                  <w14:solidFill>
                    <w14:schemeClr w14:val="tx1"/>
                  </w14:solidFill>
                </w14:textFill>
              </w:rPr>
              <w:t>。</w:t>
            </w:r>
          </w:p>
          <w:p>
            <w:pPr>
              <w:spacing w:line="360" w:lineRule="auto"/>
              <w:ind w:firstLine="480"/>
              <w:rPr>
                <w:rFonts w:hint="default" w:ascii="仿宋" w:hAnsi="仿宋" w:eastAsia="仿宋" w:cs="仿宋"/>
                <w:color w:val="000000" w:themeColor="text1"/>
                <w:sz w:val="24"/>
                <w:szCs w:val="24"/>
                <w:lang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default" w:ascii="仿宋" w:hAnsi="仿宋" w:eastAsia="仿宋" w:cs="仿宋"/>
                <w:color w:val="000000" w:themeColor="text1"/>
                <w:sz w:val="24"/>
                <w:szCs w:val="24"/>
                <w:lang w:val="en-US" w:eastAsia="zh-CN"/>
                <w14:textFill>
                  <w14:solidFill>
                    <w14:schemeClr w14:val="tx1"/>
                  </w14:solidFill>
                </w14:textFill>
              </w:rPr>
              <w:t>）</w:t>
            </w:r>
            <w:r>
              <w:rPr>
                <w:rFonts w:hint="default" w:ascii="仿宋" w:hAnsi="仿宋" w:eastAsia="仿宋" w:cs="仿宋"/>
                <w:color w:val="000000" w:themeColor="text1"/>
                <w:sz w:val="24"/>
                <w:szCs w:val="24"/>
                <w:lang w:eastAsia="zh-CN"/>
                <w14:textFill>
                  <w14:solidFill>
                    <w14:schemeClr w14:val="tx1"/>
                  </w14:solidFill>
                </w14:textFill>
              </w:rPr>
              <w:t>施工期环保对策措施的执行与落实纳入施工监理专项工作，施工期环保管理人员对措施执行情况及效果进行巡查，发现环境污染、投诉和纠纷等问题，及时上报并</w:t>
            </w:r>
            <w:r>
              <w:rPr>
                <w:rFonts w:hint="eastAsia" w:ascii="仿宋" w:hAnsi="仿宋" w:eastAsia="仿宋" w:cs="仿宋"/>
                <w:color w:val="000000" w:themeColor="text1"/>
                <w:sz w:val="24"/>
                <w:szCs w:val="24"/>
                <w:lang w:eastAsia="zh-CN"/>
                <w14:textFill>
                  <w14:solidFill>
                    <w14:schemeClr w14:val="tx1"/>
                  </w14:solidFill>
                </w14:textFill>
              </w:rPr>
              <w:t>妥善</w:t>
            </w:r>
            <w:r>
              <w:rPr>
                <w:rFonts w:hint="default" w:ascii="仿宋" w:hAnsi="仿宋" w:eastAsia="仿宋" w:cs="仿宋"/>
                <w:color w:val="000000" w:themeColor="text1"/>
                <w:sz w:val="24"/>
                <w:szCs w:val="24"/>
                <w:lang w:eastAsia="zh-CN"/>
                <w14:textFill>
                  <w14:solidFill>
                    <w14:schemeClr w14:val="tx1"/>
                  </w14:solidFill>
                </w14:textFill>
              </w:rPr>
              <w:t>合理解决</w:t>
            </w:r>
            <w:r>
              <w:rPr>
                <w:rFonts w:hint="default" w:ascii="仿宋" w:hAnsi="仿宋" w:eastAsia="仿宋" w:cs="仿宋"/>
                <w:color w:val="000000" w:themeColor="text1"/>
                <w:sz w:val="24"/>
                <w:szCs w:val="24"/>
                <w:lang w:val="en-US" w:eastAsia="zh-CN"/>
                <w14:textFill>
                  <w14:solidFill>
                    <w14:schemeClr w14:val="tx1"/>
                  </w14:solidFill>
                </w14:textFill>
              </w:rPr>
              <w:t>。</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4、施工期噪声防治措施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（1）合理安排施工计划和施工机械设备组合以及施工时间，降低施工机械同时使用的频次，尽可能采用交互作业，减少施工时间。禁在夜间（22时至次日6时）施工。</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（2）施工单位尽量选用低噪声的施工机械和设备，合理布置施工机械位置，从源头上降低噪声的影响。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（3）尽量缩短高噪音机械设备的使用时间，避免高噪声设备同时施工。</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（4）设备应安放稳固，安装减震措施，降低运行噪声。</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（5）加强设备的维护和保养，保持机械润滑，降低运行噪声</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（6）为减少施工运输车辆对运输道路两侧居民，材料运输应选在白天进行，同时加强道路养护和车辆的维修保养，在靠近居民路段减速行驶、禁止鸣笛。</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（7）靠近居民点一侧施工时优先采用人工开挖，设置临时围挡、尽量避免产噪大的设备同时施工、施工过程中加强管理、严格控制作业时间</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加强对施工噪声预测超标敏感点的跟踪监测等措施。</w:t>
            </w:r>
          </w:p>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5、固体废物防治措施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（1）工程剥离表土暂存于</w:t>
            </w:r>
            <w:r>
              <w:rPr>
                <w:rFonts w:hint="eastAsia" w:ascii="仿宋" w:hAnsi="仿宋" w:eastAsia="仿宋" w:cs="仿宋"/>
                <w:color w:val="000000" w:themeColor="text1"/>
                <w:sz w:val="24"/>
                <w:szCs w:val="24"/>
                <w:lang w:eastAsia="zh-CN"/>
                <w14:textFill>
                  <w14:solidFill>
                    <w14:schemeClr w14:val="tx1"/>
                  </w14:solidFill>
                </w14:textFill>
              </w:rPr>
              <w:t>堆土场</w:t>
            </w:r>
            <w:r>
              <w:rPr>
                <w:rFonts w:hint="eastAsia" w:ascii="仿宋" w:hAnsi="仿宋" w:eastAsia="仿宋" w:cs="仿宋"/>
                <w:color w:val="000000" w:themeColor="text1"/>
                <w:sz w:val="24"/>
                <w:szCs w:val="24"/>
                <w14:textFill>
                  <w14:solidFill>
                    <w14:schemeClr w14:val="tx1"/>
                  </w14:solidFill>
                </w14:textFill>
              </w:rPr>
              <w:t>，用于项目区植被恢复覆土。</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（2）对建筑垃圾采取分类收集，能利用部分外售收购商进行回收利用，不可回收部分委托清运至合法</w:t>
            </w:r>
            <w:r>
              <w:rPr>
                <w:rFonts w:hint="eastAsia" w:ascii="仿宋" w:hAnsi="仿宋" w:eastAsia="仿宋" w:cs="仿宋"/>
                <w:color w:val="000000" w:themeColor="text1"/>
                <w:sz w:val="24"/>
                <w:szCs w:val="24"/>
                <w:lang w:eastAsia="zh-CN"/>
                <w14:textFill>
                  <w14:solidFill>
                    <w14:schemeClr w14:val="tx1"/>
                  </w14:solidFill>
                </w14:textFill>
              </w:rPr>
              <w:t>消纳</w:t>
            </w:r>
            <w:r>
              <w:rPr>
                <w:rFonts w:hint="eastAsia" w:ascii="仿宋" w:hAnsi="仿宋" w:eastAsia="仿宋" w:cs="仿宋"/>
                <w:color w:val="000000" w:themeColor="text1"/>
                <w:sz w:val="24"/>
                <w:szCs w:val="24"/>
                <w14:textFill>
                  <w14:solidFill>
                    <w14:schemeClr w14:val="tx1"/>
                  </w14:solidFill>
                </w14:textFill>
              </w:rPr>
              <w:t>场处置。</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（3）废包装材料集中收集后全部外售至废品回收站。</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（4）安装过程产生的废弃</w:t>
            </w:r>
            <w:r>
              <w:rPr>
                <w:rFonts w:hint="eastAsia" w:ascii="仿宋" w:hAnsi="仿宋" w:eastAsia="仿宋" w:cs="仿宋"/>
                <w:color w:val="000000" w:themeColor="text1"/>
                <w:sz w:val="24"/>
                <w:szCs w:val="24"/>
                <w:lang w:val="en-US" w:eastAsia="zh-CN"/>
                <w14:textFill>
                  <w14:solidFill>
                    <w14:schemeClr w14:val="tx1"/>
                  </w14:solidFill>
                </w14:textFill>
              </w:rPr>
              <w:t>备件</w:t>
            </w:r>
            <w:r>
              <w:rPr>
                <w:rFonts w:hint="eastAsia" w:ascii="仿宋" w:hAnsi="仿宋" w:eastAsia="仿宋" w:cs="仿宋"/>
                <w:color w:val="000000" w:themeColor="text1"/>
                <w:sz w:val="24"/>
                <w:szCs w:val="24"/>
                <w14:textFill>
                  <w14:solidFill>
                    <w14:schemeClr w14:val="tx1"/>
                  </w14:solidFill>
                </w14:textFill>
              </w:rPr>
              <w:t>统一暂存于施工期综合仓库，施工完成后交由厂家回收处理。</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（5）在施工现场设置生活垃圾收集桶，垃圾桶收集后运送至附近集镇垃圾收集点，由附近集镇环卫部门清运处置，不得乱扔乱倒，禁止丢弃于河道水库、农田中。</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施工机械保养过程中产生的少量废机油及沾染油污的废手套、废抹布等属于危险废物，施工期设置临时危废间，施工过程中产生的危险废物收集后分类暂存于临时危废间，定期委托有资质单位清运处置。</w:t>
            </w:r>
          </w:p>
          <w:p>
            <w:pPr>
              <w:spacing w:line="360" w:lineRule="auto"/>
              <w:ind w:firstLine="480" w:firstLine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）在经济作物区施工时，施工临时占地宜采取隔离保护措施，施工结束后应将混凝土余料和残渣及时清除，以免影响后期土地功能的恢复。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08" w:type="pct"/>
            <w:noWrap w:val="0"/>
            <w:tcMar>
              <w:left w:w="28" w:type="dxa"/>
              <w:right w:w="28" w:type="dxa"/>
            </w:tcMar>
            <w:vAlign w:val="center"/>
          </w:tcPr>
          <w:p>
            <w:pPr>
              <w:adjustRightInd w:val="0"/>
              <w:snapToGrid w:val="0"/>
              <w:jc w:val="center"/>
              <w:rPr>
                <w:rFonts w:hint="eastAsia"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pacing w:val="10"/>
                <w:sz w:val="24"/>
                <w:szCs w:val="24"/>
                <w:lang w:eastAsia="zh-CN"/>
                <w14:textFill>
                  <w14:solidFill>
                    <w14:schemeClr w14:val="tx1"/>
                  </w14:solidFill>
                </w14:textFill>
              </w:rPr>
              <w:t>运营期</w:t>
            </w:r>
            <w:r>
              <w:rPr>
                <w:rFonts w:hint="eastAsia" w:ascii="仿宋" w:hAnsi="仿宋" w:eastAsia="仿宋" w:cs="仿宋"/>
                <w:bCs/>
                <w:color w:val="000000" w:themeColor="text1"/>
                <w:spacing w:val="10"/>
                <w:sz w:val="24"/>
                <w:szCs w:val="24"/>
                <w14:textFill>
                  <w14:solidFill>
                    <w14:schemeClr w14:val="tx1"/>
                  </w14:solidFill>
                </w14:textFill>
              </w:rPr>
              <w:t>生态环境保护措施</w:t>
            </w:r>
          </w:p>
        </w:tc>
        <w:tc>
          <w:tcPr>
            <w:tcW w:w="4591" w:type="pct"/>
            <w:noWrap w:val="0"/>
            <w:vAlign w:val="top"/>
          </w:tcPr>
          <w:p>
            <w:pPr>
              <w:spacing w:line="360" w:lineRule="auto"/>
              <w:ind w:firstLine="48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1、运营期生态环境保护措施</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植物保护措施</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1）对风机平台、集电线路电缆沟、弃渣场</w:t>
            </w:r>
            <w:r>
              <w:rPr>
                <w:rFonts w:hint="eastAsia" w:ascii="仿宋" w:hAnsi="仿宋" w:eastAsia="仿宋" w:cs="仿宋"/>
                <w:color w:val="000000" w:themeColor="text1"/>
                <w:sz w:val="24"/>
                <w:szCs w:val="24"/>
                <w:lang w:val="en-US" w:eastAsia="zh-CN"/>
                <w14:textFill>
                  <w14:solidFill>
                    <w14:schemeClr w14:val="tx1"/>
                  </w14:solidFill>
                </w14:textFill>
              </w:rPr>
              <w:t>、施工场地</w:t>
            </w:r>
            <w:r>
              <w:rPr>
                <w:rFonts w:hint="default" w:ascii="仿宋" w:hAnsi="仿宋" w:eastAsia="仿宋" w:cs="仿宋"/>
                <w:color w:val="000000" w:themeColor="text1"/>
                <w:sz w:val="24"/>
                <w:szCs w:val="24"/>
                <w:lang w:val="en-US" w:eastAsia="zh-CN"/>
                <w14:textFill>
                  <w14:solidFill>
                    <w14:schemeClr w14:val="tx1"/>
                  </w14:solidFill>
                </w14:textFill>
              </w:rPr>
              <w:t>等</w:t>
            </w:r>
            <w:r>
              <w:rPr>
                <w:rFonts w:hint="eastAsia" w:ascii="仿宋" w:hAnsi="仿宋" w:eastAsia="仿宋" w:cs="仿宋"/>
                <w:color w:val="000000" w:themeColor="text1"/>
                <w:sz w:val="24"/>
                <w:szCs w:val="24"/>
                <w:lang w:val="en-US" w:eastAsia="zh-CN"/>
                <w14:textFill>
                  <w14:solidFill>
                    <w14:schemeClr w14:val="tx1"/>
                  </w14:solidFill>
                </w14:textFill>
              </w:rPr>
              <w:t>临时占地区</w:t>
            </w:r>
            <w:r>
              <w:rPr>
                <w:rFonts w:hint="default" w:ascii="仿宋" w:hAnsi="仿宋" w:eastAsia="仿宋" w:cs="仿宋"/>
                <w:color w:val="000000" w:themeColor="text1"/>
                <w:sz w:val="24"/>
                <w:szCs w:val="24"/>
                <w:lang w:val="en-US" w:eastAsia="zh-CN"/>
                <w14:textFill>
                  <w14:solidFill>
                    <w14:schemeClr w14:val="tx1"/>
                  </w14:solidFill>
                </w14:textFill>
              </w:rPr>
              <w:t>进行植被恢复，植被恢复需选择当地优势物种，禁止引入外来物种。</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2）加强对绿化恢复植被的抚育，保证成活率，若发现恢复效果不佳，及时进行补种。</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3）加强对工作人员的宣传教育，加强用火管理，避免运营期因工作人员原因造成山林火灾。</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4）定期开展场区及周边植被外来入侵物种排查，一旦发现外来入侵物种，立即采取无害化清除措施，防范其扩散破坏区域原生植物群落结构。</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default"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动物保护措施</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default" w:ascii="仿宋" w:hAnsi="仿宋" w:eastAsia="仿宋" w:cs="仿宋"/>
                <w:color w:val="000000" w:themeColor="text1"/>
                <w:sz w:val="24"/>
                <w:szCs w:val="24"/>
                <w:lang w:val="en-US" w:eastAsia="zh-CN"/>
                <w14:textFill>
                  <w14:solidFill>
                    <w14:schemeClr w14:val="tx1"/>
                  </w14:solidFill>
                </w14:textFill>
              </w:rPr>
              <w:t>加强对场区的管理，在场区和主要路口设置警示牌，禁止无关人员在场区范围内进行捕鸟、破坏鸟类生境等活动。</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default" w:ascii="仿宋" w:hAnsi="仿宋" w:eastAsia="仿宋" w:cs="仿宋"/>
                <w:color w:val="000000" w:themeColor="text1"/>
                <w:sz w:val="24"/>
                <w:szCs w:val="24"/>
                <w:lang w:val="en-US" w:eastAsia="zh-CN"/>
                <w14:textFill>
                  <w14:solidFill>
                    <w14:schemeClr w14:val="tx1"/>
                  </w14:solidFill>
                </w14:textFill>
              </w:rPr>
              <w:t>风电场建成后，应加强场区巡视，密切关注风电场内的鸟类死亡情况，一旦发现异常，</w:t>
            </w:r>
            <w:r>
              <w:rPr>
                <w:rFonts w:hint="eastAsia" w:ascii="仿宋" w:hAnsi="仿宋" w:eastAsia="仿宋" w:cs="仿宋"/>
                <w:color w:val="000000" w:themeColor="text1"/>
                <w:sz w:val="24"/>
                <w:szCs w:val="24"/>
                <w:lang w:val="en-US" w:eastAsia="zh-CN"/>
                <w14:textFill>
                  <w14:solidFill>
                    <w14:schemeClr w14:val="tx1"/>
                  </w14:solidFill>
                </w14:textFill>
              </w:rPr>
              <w:t>及时</w:t>
            </w:r>
            <w:r>
              <w:rPr>
                <w:rFonts w:hint="default" w:ascii="仿宋" w:hAnsi="仿宋" w:eastAsia="仿宋" w:cs="仿宋"/>
                <w:color w:val="000000" w:themeColor="text1"/>
                <w:sz w:val="24"/>
                <w:szCs w:val="24"/>
                <w:lang w:val="en-US" w:eastAsia="zh-CN"/>
                <w14:textFill>
                  <w14:solidFill>
                    <w14:schemeClr w14:val="tx1"/>
                  </w14:solidFill>
                </w14:textFill>
              </w:rPr>
              <w:t>与</w:t>
            </w:r>
            <w:r>
              <w:rPr>
                <w:rFonts w:hint="eastAsia" w:ascii="仿宋" w:hAnsi="仿宋" w:eastAsia="仿宋" w:cs="仿宋"/>
                <w:color w:val="000000" w:themeColor="text1"/>
                <w:sz w:val="24"/>
                <w:szCs w:val="24"/>
                <w:lang w:val="en-US" w:eastAsia="zh-CN"/>
                <w14:textFill>
                  <w14:solidFill>
                    <w14:schemeClr w14:val="tx1"/>
                  </w14:solidFill>
                </w14:textFill>
              </w:rPr>
              <w:t>管理</w:t>
            </w:r>
            <w:r>
              <w:rPr>
                <w:rFonts w:hint="default" w:ascii="仿宋" w:hAnsi="仿宋" w:eastAsia="仿宋" w:cs="仿宋"/>
                <w:color w:val="000000" w:themeColor="text1"/>
                <w:sz w:val="24"/>
                <w:szCs w:val="24"/>
                <w:lang w:val="en-US" w:eastAsia="zh-CN"/>
                <w14:textFill>
                  <w14:solidFill>
                    <w14:schemeClr w14:val="tx1"/>
                  </w14:solidFill>
                </w14:textFill>
              </w:rPr>
              <w:t>部门联系，将受伤鸟类交由其妥善处理，共同研究，采取措施来解决问题。</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default" w:ascii="仿宋" w:hAnsi="仿宋" w:eastAsia="仿宋" w:cs="仿宋"/>
                <w:color w:val="000000" w:themeColor="text1"/>
                <w:sz w:val="24"/>
                <w:szCs w:val="24"/>
                <w:lang w:val="en-US" w:eastAsia="zh-CN"/>
                <w14:textFill>
                  <w14:solidFill>
                    <w14:schemeClr w14:val="tx1"/>
                  </w14:solidFill>
                </w14:textFill>
              </w:rPr>
              <w:t>）在鸟类迁徙季节，尤其是大雾、逆风和无月天气下，限制风电场场区照明，禁止长时间开启室外照明设备</w:t>
            </w:r>
            <w:r>
              <w:rPr>
                <w:rFonts w:hint="eastAsia" w:ascii="仿宋" w:hAnsi="仿宋" w:eastAsia="仿宋" w:cs="仿宋"/>
                <w:color w:val="000000" w:themeColor="text1"/>
                <w:sz w:val="24"/>
                <w:szCs w:val="24"/>
                <w:lang w:val="en-US" w:eastAsia="zh-CN"/>
                <w14:textFill>
                  <w14:solidFill>
                    <w14:schemeClr w14:val="tx1"/>
                  </w14:solidFill>
                </w14:textFill>
              </w:rPr>
              <w:t>，禁止使用向上照射的泛光照明</w:t>
            </w:r>
            <w:r>
              <w:rPr>
                <w:rFonts w:hint="default" w:ascii="仿宋" w:hAnsi="仿宋" w:eastAsia="仿宋" w:cs="仿宋"/>
                <w:color w:val="000000" w:themeColor="text1"/>
                <w:sz w:val="24"/>
                <w:szCs w:val="24"/>
                <w:lang w:val="en-US" w:eastAsia="zh-CN"/>
                <w14:textFill>
                  <w14:solidFill>
                    <w14:schemeClr w14:val="tx1"/>
                  </w14:solidFill>
                </w14:textFill>
              </w:rPr>
              <w:t>。</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default" w:ascii="仿宋" w:hAnsi="仿宋" w:eastAsia="仿宋" w:cs="仿宋"/>
                <w:color w:val="000000" w:themeColor="text1"/>
                <w:sz w:val="24"/>
                <w:szCs w:val="24"/>
                <w:lang w:val="en-US" w:eastAsia="zh-CN"/>
                <w14:textFill>
                  <w14:solidFill>
                    <w14:schemeClr w14:val="tx1"/>
                  </w14:solidFill>
                </w14:textFill>
              </w:rPr>
              <w:t>）加强鸟类的保护管理，加强对电场工作人员和当地居民的爱鸟护鸟教育宣传工作，避免人为伤害或干扰鸟类的事件发生。</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default" w:ascii="仿宋" w:hAnsi="仿宋" w:eastAsia="仿宋" w:cs="仿宋"/>
                <w:color w:val="000000" w:themeColor="text1"/>
                <w:sz w:val="24"/>
                <w:szCs w:val="24"/>
                <w:lang w:val="en-US" w:eastAsia="zh-CN"/>
                <w14:textFill>
                  <w14:solidFill>
                    <w14:schemeClr w14:val="tx1"/>
                  </w14:solidFill>
                </w14:textFill>
              </w:rPr>
              <w:t>风电场场区内应密闭保存工人食物以避免吸引啮齿目动物</w:t>
            </w:r>
            <w:r>
              <w:rPr>
                <w:rFonts w:hint="eastAsia" w:ascii="仿宋" w:hAnsi="仿宋" w:eastAsia="仿宋" w:cs="仿宋"/>
                <w:color w:val="000000" w:themeColor="text1"/>
                <w:sz w:val="24"/>
                <w:szCs w:val="24"/>
                <w:lang w:val="en-US" w:eastAsia="zh-CN"/>
                <w14:textFill>
                  <w14:solidFill>
                    <w14:schemeClr w14:val="tx1"/>
                  </w14:solidFill>
                </w14:textFill>
              </w:rPr>
              <w:t>聚集</w:t>
            </w:r>
            <w:r>
              <w:rPr>
                <w:rFonts w:hint="default" w:ascii="仿宋" w:hAnsi="仿宋" w:eastAsia="仿宋" w:cs="仿宋"/>
                <w:color w:val="000000" w:themeColor="text1"/>
                <w:sz w:val="24"/>
                <w:szCs w:val="24"/>
                <w:lang w:val="en-US" w:eastAsia="zh-CN"/>
                <w14:textFill>
                  <w14:solidFill>
                    <w14:schemeClr w14:val="tx1"/>
                  </w14:solidFill>
                </w14:textFill>
              </w:rPr>
              <w:t>，严禁在场区内人为投喂野生动物，不人为增加猛禽在区域出现的频率。</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6）运行期风机大规模的检修维护活动尽可能避开雨季和鸟类繁殖季节</w:t>
            </w:r>
            <w:r>
              <w:rPr>
                <w:rFonts w:hint="default" w:ascii="仿宋" w:hAnsi="仿宋" w:eastAsia="仿宋" w:cs="仿宋"/>
                <w:color w:val="000000" w:themeColor="text1"/>
                <w:sz w:val="24"/>
                <w:szCs w:val="24"/>
                <w:lang w:val="en-US" w:eastAsia="zh-CN"/>
                <w14:textFill>
                  <w14:solidFill>
                    <w14:schemeClr w14:val="tx1"/>
                  </w14:solidFill>
                </w14:textFill>
              </w:rPr>
              <w:t>。</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7）严格管控运营期场界噪声，避免持续噪声惊扰周边野生动物栖息。</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（3）生态系统维护措施</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运营期严禁新增占地、违规开挖，保护区域生态系统完整性；定期排查场内截水沟、排水沟、挡渣墙等水土保持设施，及时修缮破损部位，持续防范水土流失；加强运维人员生态保护培训，规范作业行为，杜绝人为破坏生态环境行为，维护区域生态系统稳定。</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（4）生态敏感区保护措施</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本项目选址已避让生态保护红线、自然保护区、风景名胜区、饮用水源保护区、国家一级公益林、天然乔木林等生态敏感区域，不涉及珍稀濒危动植物栖息地、繁殖地。运营期持续落实敏感区避让要求，严禁向敏感区排放污染物、倾倒废弃物；定期核查场区周边生态敏感区分布，动态调整运维措施，杜绝工程活动对生态敏感区造成影响。</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（5）生态保护管理措施</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建立生态环境保护管理制度，明确运维单位生态保护责任，配备专职生态管理人员，负责施工期、运营期生态保护措施落实、巡查与台账记录；定期开展生态保护培训，提升施工、运维人员环保意识；主动接受生态环境、林业、水土保持等主管部门监督检查，配合开展生态监测与验收；编制生态保护应急预案，应对突发生态破坏事件，及时采取补救措施，保障生态安全。</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2、运营期水污染防治措施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本项目运营期开关站拟</w:t>
            </w:r>
            <w:r>
              <w:rPr>
                <w:rFonts w:hint="eastAsia" w:ascii="仿宋" w:hAnsi="仿宋" w:eastAsia="仿宋" w:cs="仿宋"/>
                <w:color w:val="000000" w:themeColor="text1"/>
                <w:sz w:val="24"/>
                <w:szCs w:val="24"/>
                <w14:textFill>
                  <w14:solidFill>
                    <w14:schemeClr w14:val="tx1"/>
                  </w14:solidFill>
                </w14:textFill>
              </w:rPr>
              <w:t>设置1座有效容积为</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的隔油池，1座有效容积为</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的化粪池和1座处理规模为</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d的一体化污水处理设备。食堂废水通过隔油池处理后排入站内污水管网，最终和其他生活污水一起汇入化粪池进入一体化污水处理设备进行处理，处理后的污水达到《城市污水再生利用城市杂用水水质》（GB/T18920-2020）城市绿化用水标准后回用站内绿化，不外排。</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本次环评提出运营期开关站</w:t>
            </w:r>
            <w:r>
              <w:rPr>
                <w:rFonts w:hint="eastAsia" w:ascii="仿宋" w:hAnsi="仿宋" w:eastAsia="仿宋" w:cs="仿宋"/>
                <w:color w:val="000000" w:themeColor="text1"/>
                <w:sz w:val="24"/>
                <w:szCs w:val="24"/>
                <w14:textFill>
                  <w14:solidFill>
                    <w14:schemeClr w14:val="tx1"/>
                  </w14:solidFill>
                </w14:textFill>
              </w:rPr>
              <w:t>设置1座有效容积为2.5m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的回用水池，收集雨天一体化污水处理设备尾水，待天晴后回用，不外排。在一体化污水处理设备故障的情况下，可将生活污水暂存于回用水池内，待处理设备恢复运行后将污水排入体化污水处理设备处理，保证事故情况下废水不外排。</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3、运营期大气污染防治措施</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default" w:ascii="仿宋" w:hAnsi="仿宋" w:eastAsia="仿宋" w:cs="仿宋"/>
                <w:color w:val="000000" w:themeColor="text1"/>
                <w:sz w:val="24"/>
                <w:szCs w:val="24"/>
                <w:lang w:val="en-US" w:eastAsia="zh-CN"/>
                <w14:textFill>
                  <w14:solidFill>
                    <w14:schemeClr w14:val="tx1"/>
                  </w14:solidFill>
                </w14:textFill>
              </w:rPr>
              <w:t>本项目运营期不产生废气</w:t>
            </w:r>
            <w:r>
              <w:rPr>
                <w:rFonts w:hint="default" w:ascii="仿宋" w:hAnsi="仿宋" w:eastAsia="仿宋" w:cs="仿宋"/>
                <w:color w:val="000000" w:themeColor="text1"/>
                <w:sz w:val="24"/>
                <w:szCs w:val="24"/>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拟建</w:t>
            </w:r>
            <w:r>
              <w:rPr>
                <w:rFonts w:hint="eastAsia" w:ascii="仿宋" w:hAnsi="仿宋" w:eastAsia="仿宋" w:cs="仿宋"/>
                <w:color w:val="000000" w:themeColor="text1"/>
                <w:sz w:val="24"/>
                <w:szCs w:val="24"/>
                <w:lang w:val="en-US" w:eastAsia="zh-CN"/>
                <w14:textFill>
                  <w14:solidFill>
                    <w14:schemeClr w14:val="tx1"/>
                  </w14:solidFill>
                </w14:textFill>
              </w:rPr>
              <w:t>开关站</w:t>
            </w:r>
            <w:r>
              <w:rPr>
                <w:rFonts w:hint="default" w:ascii="仿宋" w:hAnsi="仿宋" w:eastAsia="仿宋" w:cs="仿宋"/>
                <w:color w:val="000000" w:themeColor="text1"/>
                <w:sz w:val="24"/>
                <w:szCs w:val="24"/>
                <w14:textFill>
                  <w14:solidFill>
                    <w14:schemeClr w14:val="tx1"/>
                  </w14:solidFill>
                </w14:textFill>
              </w:rPr>
              <w:t>内</w:t>
            </w:r>
            <w:r>
              <w:rPr>
                <w:rFonts w:hint="default" w:ascii="仿宋" w:hAnsi="仿宋" w:eastAsia="仿宋" w:cs="仿宋"/>
                <w:color w:val="000000" w:themeColor="text1"/>
                <w:sz w:val="24"/>
                <w:szCs w:val="24"/>
                <w:lang w:val="en-US" w:eastAsia="zh-CN"/>
                <w14:textFill>
                  <w14:solidFill>
                    <w14:schemeClr w14:val="tx1"/>
                  </w14:solidFill>
                </w14:textFill>
              </w:rPr>
              <w:t>拟</w:t>
            </w:r>
            <w:r>
              <w:rPr>
                <w:rFonts w:hint="default" w:ascii="仿宋" w:hAnsi="仿宋" w:eastAsia="仿宋" w:cs="仿宋"/>
                <w:color w:val="000000" w:themeColor="text1"/>
                <w:sz w:val="24"/>
                <w:szCs w:val="24"/>
                <w14:textFill>
                  <w14:solidFill>
                    <w14:schemeClr w14:val="tx1"/>
                  </w14:solidFill>
                </w14:textFill>
              </w:rPr>
              <w:t>使用清洁能源，厨房设置</w:t>
            </w:r>
            <w:r>
              <w:rPr>
                <w:rFonts w:hint="default" w:ascii="仿宋" w:hAnsi="仿宋" w:eastAsia="仿宋" w:cs="仿宋"/>
                <w:color w:val="000000" w:themeColor="text1"/>
                <w:sz w:val="24"/>
                <w:szCs w:val="24"/>
                <w:lang w:val="en-US" w:eastAsia="zh-CN"/>
                <w14:textFill>
                  <w14:solidFill>
                    <w14:schemeClr w14:val="tx1"/>
                  </w14:solidFill>
                </w14:textFill>
              </w:rPr>
              <w:t>有</w:t>
            </w:r>
            <w:r>
              <w:rPr>
                <w:rFonts w:hint="default" w:ascii="仿宋" w:hAnsi="仿宋" w:eastAsia="仿宋" w:cs="仿宋"/>
                <w:color w:val="000000" w:themeColor="text1"/>
                <w:sz w:val="24"/>
                <w:szCs w:val="24"/>
                <w14:textFill>
                  <w14:solidFill>
                    <w14:schemeClr w14:val="tx1"/>
                  </w14:solidFill>
                </w14:textFill>
              </w:rPr>
              <w:t>1套油烟净化设备，食堂油烟应处理达到《饮食业油烟排放标准（试行）》（GB18483-2001）中油烟最高允许排放浓度标准（2.0mg/m</w:t>
            </w:r>
            <w:r>
              <w:rPr>
                <w:rFonts w:hint="default" w:ascii="仿宋" w:hAnsi="仿宋" w:eastAsia="仿宋" w:cs="仿宋"/>
                <w:color w:val="000000" w:themeColor="text1"/>
                <w:sz w:val="24"/>
                <w:szCs w:val="24"/>
                <w:vertAlign w:val="superscript"/>
                <w14:textFill>
                  <w14:solidFill>
                    <w14:schemeClr w14:val="tx1"/>
                  </w14:solidFill>
                </w14:textFill>
              </w:rPr>
              <w:t>3</w:t>
            </w:r>
            <w:r>
              <w:rPr>
                <w:rFonts w:hint="default" w:ascii="仿宋" w:hAnsi="仿宋" w:eastAsia="仿宋" w:cs="仿宋"/>
                <w:color w:val="000000" w:themeColor="text1"/>
                <w:sz w:val="24"/>
                <w:szCs w:val="24"/>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后</w:t>
            </w:r>
            <w:r>
              <w:rPr>
                <w:rFonts w:hint="default" w:ascii="仿宋" w:hAnsi="仿宋" w:eastAsia="仿宋" w:cs="仿宋"/>
                <w:color w:val="000000" w:themeColor="text1"/>
                <w:sz w:val="24"/>
                <w:szCs w:val="24"/>
                <w14:textFill>
                  <w14:solidFill>
                    <w14:schemeClr w14:val="tx1"/>
                  </w14:solidFill>
                </w14:textFill>
              </w:rPr>
              <w:t>，经专用烟道引至屋顶排放</w:t>
            </w:r>
            <w:r>
              <w:rPr>
                <w:rFonts w:hint="default"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加强日常运行管理</w:t>
            </w:r>
            <w:r>
              <w:rPr>
                <w:rFonts w:hint="default" w:ascii="仿宋" w:hAnsi="仿宋" w:eastAsia="仿宋" w:cs="仿宋"/>
                <w:color w:val="000000" w:themeColor="text1"/>
                <w:sz w:val="24"/>
                <w:szCs w:val="24"/>
                <w14:textFill>
                  <w14:solidFill>
                    <w14:schemeClr w14:val="tx1"/>
                  </w14:solidFill>
                </w14:textFill>
              </w:rPr>
              <w:t>。</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4、运营期噪声防治措施</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bookmarkStart w:id="31" w:name="_Hlk89855471"/>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14:textFill>
                  <w14:solidFill>
                    <w14:schemeClr w14:val="tx1"/>
                  </w14:solidFill>
                </w14:textFill>
              </w:rPr>
              <w:t>加强风机日常维护，定期检查风机机械系统，当发生故障时，应立即停机检查检修。</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14:textFill>
                  <w14:solidFill>
                    <w14:schemeClr w14:val="tx1"/>
                  </w14:solidFill>
                </w14:textFill>
              </w:rPr>
              <w:t>优化风机运行策略，针对周边有居民敏感点的机位，可在夜间居民休息时段适度优化风机运行参数，降低叶片转速与运行噪声，减少夜间噪声对居民的影响。</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default" w:ascii="仿宋" w:hAnsi="仿宋" w:eastAsia="仿宋" w:cs="仿宋"/>
                <w:color w:val="000000" w:themeColor="text1"/>
                <w:sz w:val="24"/>
                <w:szCs w:val="24"/>
                <w14:textFill>
                  <w14:solidFill>
                    <w14:schemeClr w14:val="tx1"/>
                  </w14:solidFill>
                </w14:textFill>
              </w:rPr>
              <w:t>加强升压站主变压器、电抗器、水泵等噪声源设备的运维管理，主变压器选用低噪声型号，配套安装减振基础、隔声罩；站内水泵等设备加装减振垫、软连接，泵房采用隔声门窗，最大限度降低设备噪声排放。</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加强运行期间风机噪声监测，妥善处理合理居民诉求。</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default" w:ascii="仿宋" w:hAnsi="仿宋" w:eastAsia="仿宋" w:cs="仿宋"/>
                <w:color w:val="000000" w:themeColor="text1"/>
                <w:sz w:val="24"/>
                <w:szCs w:val="24"/>
                <w:lang w:eastAsia="zh-CN"/>
                <w14:textFill>
                  <w14:solidFill>
                    <w14:schemeClr w14:val="tx1"/>
                  </w14:solidFill>
                </w14:textFill>
              </w:rPr>
              <w:t>环评</w:t>
            </w:r>
            <w:r>
              <w:rPr>
                <w:rFonts w:hint="default" w:ascii="仿宋" w:hAnsi="仿宋" w:eastAsia="仿宋" w:cs="仿宋"/>
                <w:color w:val="000000" w:themeColor="text1"/>
                <w:sz w:val="24"/>
                <w:szCs w:val="24"/>
                <w:lang w:val="en-US" w:eastAsia="zh-CN"/>
                <w14:textFill>
                  <w14:solidFill>
                    <w14:schemeClr w14:val="tx1"/>
                  </w14:solidFill>
                </w14:textFill>
              </w:rPr>
              <w:t>项目</w:t>
            </w:r>
            <w:r>
              <w:rPr>
                <w:rFonts w:hint="default" w:ascii="仿宋" w:hAnsi="仿宋" w:eastAsia="仿宋" w:cs="仿宋"/>
                <w:color w:val="000000" w:themeColor="text1"/>
                <w:sz w:val="24"/>
                <w:szCs w:val="24"/>
                <w:lang w:eastAsia="zh-CN"/>
                <w14:textFill>
                  <w14:solidFill>
                    <w14:schemeClr w14:val="tx1"/>
                  </w14:solidFill>
                </w14:textFill>
              </w:rPr>
              <w:t>要求设置3</w:t>
            </w:r>
            <w:r>
              <w:rPr>
                <w:rFonts w:hint="eastAsia" w:ascii="仿宋" w:hAnsi="仿宋" w:eastAsia="仿宋" w:cs="仿宋"/>
                <w:color w:val="000000" w:themeColor="text1"/>
                <w:sz w:val="24"/>
                <w:szCs w:val="24"/>
                <w:lang w:val="en-US" w:eastAsia="zh-CN"/>
                <w14:textFill>
                  <w14:solidFill>
                    <w14:schemeClr w14:val="tx1"/>
                  </w14:solidFill>
                </w14:textFill>
              </w:rPr>
              <w:t>00</w:t>
            </w:r>
            <w:r>
              <w:rPr>
                <w:rFonts w:hint="default" w:ascii="仿宋" w:hAnsi="仿宋" w:eastAsia="仿宋" w:cs="仿宋"/>
                <w:color w:val="000000" w:themeColor="text1"/>
                <w:sz w:val="24"/>
                <w:szCs w:val="24"/>
                <w:lang w:eastAsia="zh-CN"/>
                <w14:textFill>
                  <w14:solidFill>
                    <w14:schemeClr w14:val="tx1"/>
                  </w14:solidFill>
                </w14:textFill>
              </w:rPr>
              <w:t>m的噪声防护距离，风机建设前（建设单位）向主管部门告知备案，建议风机机位3</w:t>
            </w:r>
            <w:r>
              <w:rPr>
                <w:rFonts w:hint="eastAsia" w:ascii="仿宋" w:hAnsi="仿宋" w:eastAsia="仿宋" w:cs="仿宋"/>
                <w:color w:val="000000" w:themeColor="text1"/>
                <w:sz w:val="24"/>
                <w:szCs w:val="24"/>
                <w:lang w:val="en-US" w:eastAsia="zh-CN"/>
                <w14:textFill>
                  <w14:solidFill>
                    <w14:schemeClr w14:val="tx1"/>
                  </w14:solidFill>
                </w14:textFill>
              </w:rPr>
              <w:t>00</w:t>
            </w:r>
            <w:r>
              <w:rPr>
                <w:rFonts w:hint="default" w:ascii="仿宋" w:hAnsi="仿宋" w:eastAsia="仿宋" w:cs="仿宋"/>
                <w:color w:val="000000" w:themeColor="text1"/>
                <w:sz w:val="24"/>
                <w:szCs w:val="24"/>
                <w:lang w:eastAsia="zh-CN"/>
                <w14:textFill>
                  <w14:solidFill>
                    <w14:schemeClr w14:val="tx1"/>
                  </w14:solidFill>
                </w14:textFill>
              </w:rPr>
              <w:t>m范围内不得新建居民区，并告知项目所在地乡镇、村委会</w:t>
            </w:r>
            <w:r>
              <w:rPr>
                <w:rFonts w:hint="default" w:ascii="仿宋" w:hAnsi="仿宋" w:eastAsia="仿宋" w:cs="仿宋"/>
                <w:color w:val="000000" w:themeColor="text1"/>
                <w:sz w:val="24"/>
                <w:szCs w:val="24"/>
                <w14:textFill>
                  <w14:solidFill>
                    <w14:schemeClr w14:val="tx1"/>
                  </w14:solidFill>
                </w14:textFill>
              </w:rPr>
              <w:t>。</w:t>
            </w:r>
          </w:p>
          <w:p>
            <w:pPr>
              <w:spacing w:line="360" w:lineRule="auto"/>
              <w:ind w:firstLine="48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lang w:val="en-US" w:eastAsia="zh-CN"/>
                <w14:textFill>
                  <w14:solidFill>
                    <w14:schemeClr w14:val="tx1"/>
                  </w14:solidFill>
                </w14:textFill>
              </w:rPr>
              <w:t>在</w:t>
            </w:r>
            <w:r>
              <w:rPr>
                <w:rFonts w:hint="default" w:ascii="仿宋" w:hAnsi="仿宋" w:eastAsia="仿宋" w:cs="仿宋"/>
                <w:color w:val="000000" w:themeColor="text1"/>
                <w:sz w:val="24"/>
                <w:szCs w:val="24"/>
                <w14:textFill>
                  <w14:solidFill>
                    <w14:schemeClr w14:val="tx1"/>
                  </w14:solidFill>
                </w14:textFill>
              </w:rPr>
              <w:t>运行</w:t>
            </w:r>
            <w:r>
              <w:rPr>
                <w:rFonts w:hint="default" w:ascii="仿宋" w:hAnsi="仿宋" w:eastAsia="仿宋" w:cs="仿宋"/>
                <w:color w:val="000000" w:themeColor="text1"/>
                <w:sz w:val="24"/>
                <w:szCs w:val="24"/>
                <w:lang w:val="en-US" w:eastAsia="zh-CN"/>
                <w14:textFill>
                  <w14:solidFill>
                    <w14:schemeClr w14:val="tx1"/>
                  </w14:solidFill>
                </w14:textFill>
              </w:rPr>
              <w:t>第一年对距离风机点位较近的居民点进行噪声监测，若出现超标，则对</w:t>
            </w:r>
            <w:r>
              <w:rPr>
                <w:rFonts w:hint="default" w:ascii="仿宋" w:hAnsi="仿宋" w:eastAsia="仿宋" w:cs="仿宋"/>
                <w:color w:val="000000" w:themeColor="text1"/>
                <w:sz w:val="24"/>
                <w:szCs w:val="24"/>
                <w14:textFill>
                  <w14:solidFill>
                    <w14:schemeClr w14:val="tx1"/>
                  </w14:solidFill>
                </w14:textFill>
              </w:rPr>
              <w:t>风机采取降功率运行、叶片安装降噪包等措施</w:t>
            </w:r>
            <w:r>
              <w:rPr>
                <w:rFonts w:hint="default" w:ascii="仿宋" w:hAnsi="仿宋" w:eastAsia="仿宋" w:cs="仿宋"/>
                <w:color w:val="000000" w:themeColor="text1"/>
                <w:sz w:val="24"/>
                <w:szCs w:val="24"/>
                <w:lang w:eastAsia="zh-CN"/>
                <w14:textFill>
                  <w14:solidFill>
                    <w14:schemeClr w14:val="tx1"/>
                  </w14:solidFill>
                </w14:textFill>
              </w:rPr>
              <w:t>以满足区域声环境质量标准</w:t>
            </w:r>
            <w:r>
              <w:rPr>
                <w:rFonts w:hint="eastAsia" w:ascii="仿宋" w:hAnsi="仿宋" w:eastAsia="仿宋" w:cs="仿宋"/>
                <w:color w:val="000000" w:themeColor="text1"/>
                <w:sz w:val="24"/>
                <w:szCs w:val="24"/>
                <w:lang w:eastAsia="zh-CN"/>
                <w14:textFill>
                  <w14:solidFill>
                    <w14:schemeClr w14:val="tx1"/>
                  </w14:solidFill>
                </w14:textFill>
              </w:rPr>
              <w:t>。</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7</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lang w:eastAsia="zh-CN"/>
                <w14:textFill>
                  <w14:solidFill>
                    <w14:schemeClr w14:val="tx1"/>
                  </w14:solidFill>
                </w14:textFill>
              </w:rPr>
              <w:t>环评要求建设单位在运营期对风电场周边</w:t>
            </w:r>
            <w:r>
              <w:rPr>
                <w:rFonts w:hint="eastAsia" w:ascii="仿宋" w:hAnsi="仿宋" w:eastAsia="仿宋" w:cs="仿宋"/>
                <w:color w:val="000000" w:themeColor="text1"/>
                <w:sz w:val="24"/>
                <w:szCs w:val="24"/>
                <w:lang w:val="en-US" w:eastAsia="zh-CN"/>
                <w14:textFill>
                  <w14:solidFill>
                    <w14:schemeClr w14:val="tx1"/>
                  </w14:solidFill>
                </w14:textFill>
              </w:rPr>
              <w:t>700m范围内的居民点</w:t>
            </w:r>
            <w:r>
              <w:rPr>
                <w:rFonts w:hint="default" w:ascii="仿宋" w:hAnsi="仿宋" w:eastAsia="仿宋" w:cs="仿宋"/>
                <w:color w:val="000000" w:themeColor="text1"/>
                <w:sz w:val="24"/>
                <w:szCs w:val="24"/>
                <w:lang w:eastAsia="zh-CN"/>
                <w14:textFill>
                  <w14:solidFill>
                    <w14:schemeClr w14:val="tx1"/>
                  </w14:solidFill>
                </w14:textFill>
              </w:rPr>
              <w:t>进行跟踪监测</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lang w:eastAsia="zh-CN"/>
                <w14:textFill>
                  <w14:solidFill>
                    <w14:schemeClr w14:val="tx1"/>
                  </w14:solidFill>
                </w14:textFill>
              </w:rPr>
              <w:t>若监测到敏感点处噪声不能稳定达标，则应采取相应的降噪措施，</w:t>
            </w:r>
            <w:r>
              <w:rPr>
                <w:rFonts w:hint="eastAsia" w:ascii="仿宋" w:hAnsi="仿宋" w:eastAsia="仿宋" w:cs="仿宋"/>
                <w:color w:val="000000" w:themeColor="text1"/>
                <w:sz w:val="24"/>
                <w:szCs w:val="24"/>
                <w:lang w:val="en-US" w:eastAsia="zh-CN"/>
                <w14:textFill>
                  <w14:solidFill>
                    <w14:schemeClr w14:val="tx1"/>
                  </w14:solidFill>
                </w14:textFill>
              </w:rPr>
              <w:t>必要时</w:t>
            </w:r>
            <w:r>
              <w:rPr>
                <w:rFonts w:hint="default" w:ascii="仿宋" w:hAnsi="仿宋" w:eastAsia="仿宋" w:cs="仿宋"/>
                <w:color w:val="000000" w:themeColor="text1"/>
                <w:sz w:val="24"/>
                <w:szCs w:val="24"/>
                <w:lang w:eastAsia="zh-CN"/>
                <w14:textFill>
                  <w14:solidFill>
                    <w14:schemeClr w14:val="tx1"/>
                  </w14:solidFill>
                </w14:textFill>
              </w:rPr>
              <w:t>降低产生影响的风机运行功率</w:t>
            </w:r>
            <w:r>
              <w:rPr>
                <w:rFonts w:hint="default" w:ascii="仿宋" w:hAnsi="仿宋" w:eastAsia="仿宋" w:cs="仿宋"/>
                <w:color w:val="000000" w:themeColor="text1"/>
                <w:sz w:val="24"/>
                <w:szCs w:val="24"/>
                <w14:textFill>
                  <w14:solidFill>
                    <w14:schemeClr w14:val="tx1"/>
                  </w14:solidFill>
                </w14:textFill>
              </w:rPr>
              <w:t>。</w:t>
            </w:r>
          </w:p>
          <w:p>
            <w:pPr>
              <w:spacing w:line="360" w:lineRule="auto"/>
              <w:ind w:firstLine="480"/>
              <w:rPr>
                <w:rFonts w:hint="default"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eastAsia" w:ascii="仿宋" w:hAnsi="仿宋" w:eastAsia="仿宋" w:cs="仿宋"/>
                <w:color w:val="000000" w:themeColor="text1"/>
                <w:sz w:val="24"/>
                <w:szCs w:val="24"/>
                <w:lang w:eastAsia="zh-CN"/>
                <w14:textFill>
                  <w14:solidFill>
                    <w14:schemeClr w14:val="tx1"/>
                  </w14:solidFill>
                </w14:textFill>
              </w:rPr>
              <w:t>）</w:t>
            </w:r>
            <w:r>
              <w:rPr>
                <w:rFonts w:hint="default" w:ascii="仿宋" w:hAnsi="仿宋" w:eastAsia="仿宋" w:cs="仿宋"/>
                <w:color w:val="000000" w:themeColor="text1"/>
                <w:sz w:val="24"/>
                <w:szCs w:val="24"/>
                <w14:textFill>
                  <w14:solidFill>
                    <w14:schemeClr w14:val="tx1"/>
                  </w14:solidFill>
                </w14:textFill>
              </w:rPr>
              <w:t>加强</w:t>
            </w:r>
            <w:r>
              <w:rPr>
                <w:rFonts w:hint="eastAsia" w:ascii="仿宋" w:hAnsi="仿宋" w:eastAsia="仿宋" w:cs="仿宋"/>
                <w:color w:val="000000" w:themeColor="text1"/>
                <w:sz w:val="24"/>
                <w:szCs w:val="24"/>
                <w:lang w:val="en-US" w:eastAsia="zh-CN"/>
                <w14:textFill>
                  <w14:solidFill>
                    <w14:schemeClr w14:val="tx1"/>
                  </w14:solidFill>
                </w14:textFill>
              </w:rPr>
              <w:t>项目</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default" w:ascii="仿宋" w:hAnsi="仿宋" w:eastAsia="仿宋" w:cs="仿宋"/>
                <w:color w:val="000000" w:themeColor="text1"/>
                <w:sz w:val="24"/>
                <w:szCs w:val="24"/>
                <w:lang w:val="en-US" w:eastAsia="zh-CN"/>
                <w14:textFill>
                  <w14:solidFill>
                    <w14:schemeClr w14:val="tx1"/>
                  </w14:solidFill>
                </w14:textFill>
              </w:rPr>
              <w:t>新建生产辅助设施区域</w:t>
            </w:r>
            <w:r>
              <w:rPr>
                <w:rFonts w:hint="default" w:ascii="仿宋" w:hAnsi="仿宋" w:eastAsia="仿宋" w:cs="仿宋"/>
                <w:color w:val="000000" w:themeColor="text1"/>
                <w:sz w:val="24"/>
                <w:szCs w:val="24"/>
                <w14:textFill>
                  <w14:solidFill>
                    <w14:schemeClr w14:val="tx1"/>
                  </w14:solidFill>
                </w14:textFill>
              </w:rPr>
              <w:t>绿化。</w:t>
            </w:r>
          </w:p>
          <w:bookmarkEnd w:id="31"/>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5、固体废物</w:t>
            </w:r>
            <w:r>
              <w:rPr>
                <w:rFonts w:hint="eastAsia" w:ascii="仿宋" w:hAnsi="仿宋" w:eastAsia="仿宋" w:cs="仿宋"/>
                <w:b/>
                <w:bCs/>
                <w:color w:val="000000" w:themeColor="text1"/>
                <w:sz w:val="24"/>
                <w:szCs w:val="24"/>
                <w:lang w:eastAsia="zh-CN"/>
                <w14:textFill>
                  <w14:solidFill>
                    <w14:schemeClr w14:val="tx1"/>
                  </w14:solidFill>
                </w14:textFill>
              </w:rPr>
              <w:t>污染物防治</w:t>
            </w:r>
            <w:r>
              <w:rPr>
                <w:rFonts w:hint="eastAsia" w:ascii="仿宋" w:hAnsi="仿宋" w:eastAsia="仿宋" w:cs="仿宋"/>
                <w:b/>
                <w:bCs/>
                <w:color w:val="000000" w:themeColor="text1"/>
                <w:sz w:val="24"/>
                <w:szCs w:val="24"/>
                <w14:textFill>
                  <w14:solidFill>
                    <w14:schemeClr w14:val="tx1"/>
                  </w14:solidFill>
                </w14:textFill>
              </w:rPr>
              <w:t>措施</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（1）一般固废：统一收集后暂存于一般固废暂存间，定期外售废品回收站回收资源化利用。</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（2）生活垃圾：依托开关站拟配备的垃圾桶进行分类收集，定期自行转运至附近乡镇或村落生活垃圾处置点统一处置。</w:t>
            </w:r>
          </w:p>
          <w:p>
            <w:pPr>
              <w:spacing w:line="360" w:lineRule="auto"/>
              <w:ind w:firstLine="48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（3）污水处理系统污泥：委托周边农户定期清掏后用作农肥。</w:t>
            </w:r>
          </w:p>
          <w:p>
            <w:pPr>
              <w:spacing w:line="360" w:lineRule="auto"/>
              <w:ind w:firstLine="48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（4）危废：废变压器油、检修废油和废铅蓄电池属于危险废物，采用专用收集容器收集后，在开关站拟建危废贮存库分区暂存，定期委托有资质的单位清运处置，严格执行危废转移联单制度</w:t>
            </w:r>
            <w:r>
              <w:rPr>
                <w:rFonts w:hint="default" w:ascii="仿宋" w:hAnsi="仿宋" w:eastAsia="仿宋" w:cs="仿宋"/>
                <w:color w:val="000000" w:themeColor="text1"/>
                <w:sz w:val="24"/>
                <w:szCs w:val="24"/>
                <w:lang w:val="en-US" w:eastAsia="zh-CN"/>
                <w14:textFill>
                  <w14:solidFill>
                    <w14:schemeClr w14:val="tx1"/>
                  </w14:solidFill>
                </w14:textFill>
              </w:rPr>
              <w:t>。</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6</w:t>
            </w:r>
            <w:r>
              <w:rPr>
                <w:rFonts w:hint="eastAsia" w:ascii="仿宋" w:hAnsi="仿宋" w:eastAsia="仿宋" w:cs="仿宋"/>
                <w:b/>
                <w:bCs/>
                <w:color w:val="000000" w:themeColor="text1"/>
                <w:sz w:val="24"/>
                <w:szCs w:val="24"/>
                <w14:textFill>
                  <w14:solidFill>
                    <w14:schemeClr w14:val="tx1"/>
                  </w14:solidFill>
                </w14:textFill>
              </w:rPr>
              <w:t>、环境风险防范措施</w:t>
            </w:r>
          </w:p>
          <w:p>
            <w:pPr>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（1）废暂存间严格按照《危险废物贮存污染控制标准》（GB18597-2023）的要求进行设置，基础防渗层至少1m厚黏土层，K≤10</w:t>
            </w:r>
            <w:r>
              <w:rPr>
                <w:rFonts w:hint="eastAsia" w:ascii="仿宋" w:hAnsi="仿宋" w:eastAsia="仿宋" w:cs="仿宋"/>
                <w:color w:val="000000" w:themeColor="text1"/>
                <w:sz w:val="24"/>
                <w:szCs w:val="24"/>
                <w:vertAlign w:val="superscript"/>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cm/s，人工防渗层材料厚度不小于2mm，K≤10</w:t>
            </w:r>
            <w:r>
              <w:rPr>
                <w:rFonts w:hint="eastAsia" w:ascii="仿宋" w:hAnsi="仿宋" w:eastAsia="仿宋" w:cs="仿宋"/>
                <w:color w:val="000000" w:themeColor="text1"/>
                <w:sz w:val="24"/>
                <w:szCs w:val="24"/>
                <w:vertAlign w:val="superscript"/>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cm/s，设置必要的贮存分区。</w:t>
            </w:r>
          </w:p>
          <w:p>
            <w:pPr>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（2）加强工作人员管理和培训。</w:t>
            </w:r>
          </w:p>
          <w:p>
            <w:pPr>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主变旁设置1座有效容积</w:t>
            </w:r>
            <w:r>
              <w:rPr>
                <w:rFonts w:hint="eastAsia" w:ascii="仿宋" w:hAnsi="仿宋" w:eastAsia="仿宋" w:cs="仿宋"/>
                <w:color w:val="000000" w:themeColor="text1"/>
                <w:sz w:val="24"/>
                <w:szCs w:val="24"/>
                <w:lang w:val="en-US"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事故油池，主变靠事故油池一侧设一座容积</w:t>
            </w: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集油池，用于收集主变事故排放的废变压器油，集油池内接钢管通向事故油池。集油池、事故油池做重点防渗，基础防渗层至少1m厚黏土层，防渗系数≤10</w:t>
            </w:r>
            <w:r>
              <w:rPr>
                <w:rFonts w:hint="eastAsia" w:ascii="仿宋" w:hAnsi="仿宋" w:eastAsia="仿宋" w:cs="仿宋"/>
                <w:color w:val="000000" w:themeColor="text1"/>
                <w:sz w:val="24"/>
                <w:szCs w:val="24"/>
                <w:vertAlign w:val="superscript"/>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cm/s，人工防渗层材料厚度不小于2mm，防渗系数≤10</w:t>
            </w:r>
            <w:r>
              <w:rPr>
                <w:rFonts w:hint="eastAsia" w:ascii="仿宋" w:hAnsi="仿宋" w:eastAsia="仿宋" w:cs="仿宋"/>
                <w:color w:val="000000" w:themeColor="text1"/>
                <w:sz w:val="24"/>
                <w:szCs w:val="24"/>
                <w:vertAlign w:val="superscript"/>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cm/s。事故油池中的废变压器油大部分能回收利用，不能利用的用油桶收集后分类暂存于</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，定期委托有资质的单位清运处置。每座箱变配备一座集油池，用于收集箱变事故排放的废变压器油，共4座</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每座容积5</w:t>
            </w:r>
            <w:r>
              <w:rPr>
                <w:rFonts w:hint="eastAsia" w:ascii="仿宋" w:hAnsi="仿宋" w:eastAsia="仿宋" w:cs="仿宋"/>
                <w:color w:val="000000" w:themeColor="text1"/>
                <w:sz w:val="24"/>
                <w:szCs w:val="24"/>
                <w14:textFill>
                  <w14:solidFill>
                    <w14:schemeClr w14:val="tx1"/>
                  </w14:solidFill>
                </w14:textFill>
              </w:rPr>
              <w:t>m</w:t>
            </w:r>
            <w:r>
              <w:rPr>
                <w:rFonts w:hint="eastAsia" w:ascii="仿宋" w:hAnsi="仿宋" w:eastAsia="仿宋" w:cs="仿宋"/>
                <w:color w:val="000000" w:themeColor="text1"/>
                <w:sz w:val="24"/>
                <w:szCs w:val="24"/>
                <w:vertAlign w:val="superscript"/>
                <w14:textFill>
                  <w14:solidFill>
                    <w14:schemeClr w14:val="tx1"/>
                  </w14:solidFill>
                </w14:textFill>
              </w:rPr>
              <w:t>3</w:t>
            </w:r>
            <w:r>
              <w:rPr>
                <w:rFonts w:hint="eastAsia" w:ascii="仿宋" w:hAnsi="仿宋" w:eastAsia="仿宋" w:cs="仿宋"/>
                <w:color w:val="000000" w:themeColor="text1"/>
                <w:sz w:val="24"/>
                <w:szCs w:val="24"/>
                <w14:textFill>
                  <w14:solidFill>
                    <w14:schemeClr w14:val="tx1"/>
                  </w14:solidFill>
                </w14:textFill>
              </w:rPr>
              <w:t>。集油池做重点防渗，基础防渗层至少1m厚黏土层，防渗系数≤10</w:t>
            </w:r>
            <w:r>
              <w:rPr>
                <w:rFonts w:hint="eastAsia" w:ascii="仿宋" w:hAnsi="仿宋" w:eastAsia="仿宋" w:cs="仿宋"/>
                <w:color w:val="000000" w:themeColor="text1"/>
                <w:sz w:val="24"/>
                <w:szCs w:val="24"/>
                <w:vertAlign w:val="superscript"/>
                <w14:textFill>
                  <w14:solidFill>
                    <w14:schemeClr w14:val="tx1"/>
                  </w14:solidFill>
                </w14:textFill>
              </w:rPr>
              <w:t>-7</w:t>
            </w:r>
            <w:r>
              <w:rPr>
                <w:rFonts w:hint="eastAsia" w:ascii="仿宋" w:hAnsi="仿宋" w:eastAsia="仿宋" w:cs="仿宋"/>
                <w:color w:val="000000" w:themeColor="text1"/>
                <w:sz w:val="24"/>
                <w:szCs w:val="24"/>
                <w14:textFill>
                  <w14:solidFill>
                    <w14:schemeClr w14:val="tx1"/>
                  </w14:solidFill>
                </w14:textFill>
              </w:rPr>
              <w:t>cm/s，人工防渗层材料厚度不小于2mm，防渗系数≤10</w:t>
            </w:r>
            <w:r>
              <w:rPr>
                <w:rFonts w:hint="eastAsia" w:ascii="仿宋" w:hAnsi="仿宋" w:eastAsia="仿宋" w:cs="仿宋"/>
                <w:color w:val="000000" w:themeColor="text1"/>
                <w:sz w:val="24"/>
                <w:szCs w:val="24"/>
                <w:vertAlign w:val="superscript"/>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cm/s。集油池中的废变压器油大部分能回收利用，不能利用的用油桶收集后分类暂存于</w:t>
            </w:r>
            <w:r>
              <w:rPr>
                <w:rFonts w:hint="eastAsia" w:ascii="仿宋" w:hAnsi="仿宋" w:eastAsia="仿宋" w:cs="仿宋"/>
                <w:color w:val="000000" w:themeColor="text1"/>
                <w:sz w:val="24"/>
                <w:szCs w:val="24"/>
                <w:lang w:eastAsia="zh-CN"/>
                <w14:textFill>
                  <w14:solidFill>
                    <w14:schemeClr w14:val="tx1"/>
                  </w14:solidFill>
                </w14:textFill>
              </w:rPr>
              <w:t>危险废物暂存间</w:t>
            </w:r>
            <w:r>
              <w:rPr>
                <w:rFonts w:hint="eastAsia" w:ascii="仿宋" w:hAnsi="仿宋" w:eastAsia="仿宋" w:cs="仿宋"/>
                <w:color w:val="000000" w:themeColor="text1"/>
                <w:sz w:val="24"/>
                <w:szCs w:val="24"/>
                <w14:textFill>
                  <w14:solidFill>
                    <w14:schemeClr w14:val="tx1"/>
                  </w14:solidFill>
                </w14:textFill>
              </w:rPr>
              <w:t>，定期委托有资质的单位清运处置。</w:t>
            </w:r>
          </w:p>
          <w:p>
            <w:pPr>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（5）加强设备电线及接头的检修及维护，防止因线路老化、接触不良等原因造成火灾事故。</w:t>
            </w:r>
          </w:p>
          <w:p>
            <w:pPr>
              <w:spacing w:line="360" w:lineRule="auto"/>
              <w:ind w:firstLine="480" w:firstLineChars="20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（6）设置危险警示牌，站内配备消防沙和灭火器</w:t>
            </w:r>
          </w:p>
          <w:p>
            <w:pPr>
              <w:wordWrap/>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（7）强化禁火区域安全管理，严禁烟火，将生产、储存装置区域列为禁火区，区内加强火源管理，严禁吸烟；电气设备应定期检修，发现可能引起火花，短路，发热及电气绝缘损坏，接触电阻。</w:t>
            </w:r>
          </w:p>
          <w:p>
            <w:pPr>
              <w:wordWrap/>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（8）加强消防设施验收管理，确保新建</w:t>
            </w:r>
            <w:r>
              <w:rPr>
                <w:rFonts w:hint="eastAsia" w:ascii="仿宋" w:hAnsi="仿宋" w:eastAsia="仿宋" w:cs="仿宋"/>
                <w:color w:val="000000" w:themeColor="text1"/>
                <w:sz w:val="24"/>
                <w:szCs w:val="24"/>
                <w:lang w:eastAsia="zh-CN"/>
                <w14:textFill>
                  <w14:solidFill>
                    <w14:schemeClr w14:val="tx1"/>
                  </w14:solidFill>
                </w14:textFill>
              </w:rPr>
              <w:t>开关站</w:t>
            </w:r>
            <w:r>
              <w:rPr>
                <w:rFonts w:hint="eastAsia" w:ascii="仿宋" w:hAnsi="仿宋" w:eastAsia="仿宋" w:cs="仿宋"/>
                <w:color w:val="000000" w:themeColor="text1"/>
                <w:sz w:val="24"/>
                <w:szCs w:val="24"/>
                <w14:textFill>
                  <w14:solidFill>
                    <w14:schemeClr w14:val="tx1"/>
                  </w14:solidFill>
                </w14:textFill>
              </w:rPr>
              <w:t>满足防火规范要求。</w:t>
            </w:r>
          </w:p>
          <w:p>
            <w:pPr>
              <w:wordWrap/>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（9）编制突发环境事件应急预案，提交当地环保部门备案并定期演练，以应对可能发生的应急危害事故，一旦发生事故，即可在有准备的情况下对事故进行紧急处理，将事故危害和环境污染降低到最小程度。</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7、</w:t>
            </w:r>
            <w:r>
              <w:rPr>
                <w:rFonts w:hint="eastAsia" w:ascii="仿宋" w:hAnsi="仿宋" w:eastAsia="仿宋" w:cs="仿宋"/>
                <w:b/>
                <w:bCs/>
                <w:color w:val="000000" w:themeColor="text1"/>
                <w:sz w:val="24"/>
                <w:szCs w:val="24"/>
                <w14:textFill>
                  <w14:solidFill>
                    <w14:schemeClr w14:val="tx1"/>
                  </w14:solidFill>
                </w14:textFill>
              </w:rPr>
              <w:t>服务期满后的环境保护措施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（1）固体废物处置措施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①服务期满后拆除的</w:t>
            </w:r>
            <w:r>
              <w:rPr>
                <w:rFonts w:hint="eastAsia" w:ascii="仿宋" w:hAnsi="仿宋" w:eastAsia="仿宋" w:cs="仿宋"/>
                <w:color w:val="000000" w:themeColor="text1"/>
                <w:sz w:val="24"/>
                <w:szCs w:val="24"/>
                <w:lang w:eastAsia="zh-CN"/>
                <w14:textFill>
                  <w14:solidFill>
                    <w14:schemeClr w14:val="tx1"/>
                  </w14:solidFill>
                </w14:textFill>
              </w:rPr>
              <w:t>风机</w:t>
            </w:r>
            <w:r>
              <w:rPr>
                <w:rFonts w:hint="eastAsia" w:ascii="仿宋" w:hAnsi="仿宋" w:eastAsia="仿宋" w:cs="仿宋"/>
                <w:color w:val="000000" w:themeColor="text1"/>
                <w:sz w:val="24"/>
                <w:szCs w:val="24"/>
                <w:lang w:val="en-US" w:eastAsia="zh-CN"/>
                <w14:textFill>
                  <w14:solidFill>
                    <w14:schemeClr w14:val="tx1"/>
                  </w14:solidFill>
                </w14:textFill>
              </w:rPr>
              <w:t>机组</w:t>
            </w:r>
            <w:r>
              <w:rPr>
                <w:rFonts w:hint="eastAsia" w:ascii="仿宋" w:hAnsi="仿宋" w:eastAsia="仿宋" w:cs="仿宋"/>
                <w:color w:val="000000" w:themeColor="text1"/>
                <w:sz w:val="24"/>
                <w:szCs w:val="24"/>
                <w14:textFill>
                  <w14:solidFill>
                    <w14:schemeClr w14:val="tx1"/>
                  </w14:solidFill>
                </w14:textFill>
              </w:rPr>
              <w:t>全部由专业的回收厂家回收处理。</w:t>
            </w:r>
          </w:p>
          <w:p>
            <w:pPr>
              <w:spacing w:line="360" w:lineRule="auto"/>
              <w:ind w:firstLine="480"/>
              <w:rPr>
                <w:rFonts w:hint="eastAsia" w:ascii="仿宋" w:hAnsi="仿宋" w:eastAsia="仿宋" w:cs="仿宋"/>
                <w:color w:val="000000" w:themeColor="text1"/>
                <w:spacing w:val="-1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w:t>
            </w:r>
            <w:r>
              <w:rPr>
                <w:rFonts w:hint="eastAsia" w:ascii="仿宋" w:hAnsi="仿宋" w:eastAsia="仿宋" w:cs="仿宋"/>
                <w:color w:val="000000" w:themeColor="text1"/>
                <w:spacing w:val="-11"/>
                <w:kern w:val="2"/>
                <w:sz w:val="24"/>
                <w:szCs w:val="24"/>
                <w:highlight w:val="none"/>
                <w:lang w:val="en-US" w:eastAsia="zh-CN" w:bidi="ar-SA"/>
                <w14:textFill>
                  <w14:solidFill>
                    <w14:schemeClr w14:val="tx1"/>
                  </w14:solidFill>
                </w14:textFill>
              </w:rPr>
              <w:t>服务期满后及时联系厂家对主变、逆变器、箱变等电气设备进行回收利用。</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③电缆、光缆拆除后交由资源回收单位收集处理。</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④服务期满后对已建成的各类建（构）筑物进行全部拆除，以利于恢复原地表和植被。拆除过程中产生的建筑垃圾经分类收集后可回收利用的回收利用，不可回收利用的清运至当地住建部门指定地点堆存。</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（2）生态恢复措施</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①拆除过程中应尽量减小对土地的扰动；</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②拆除检修道路基础后，对场地进行恢复，在场地内播撒耐旱绿植，选择当地乡土树种。</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③拆除</w:t>
            </w:r>
            <w:r>
              <w:rPr>
                <w:rFonts w:hint="eastAsia" w:ascii="仿宋" w:hAnsi="仿宋" w:eastAsia="仿宋" w:cs="仿宋"/>
                <w:color w:val="000000" w:themeColor="text1"/>
                <w:sz w:val="24"/>
                <w:szCs w:val="24"/>
                <w:lang w:eastAsia="zh-CN"/>
                <w14:textFill>
                  <w14:solidFill>
                    <w14:schemeClr w14:val="tx1"/>
                  </w14:solidFill>
                </w14:textFill>
              </w:rPr>
              <w:t>风机机组</w:t>
            </w:r>
            <w:r>
              <w:rPr>
                <w:rFonts w:hint="eastAsia" w:ascii="仿宋" w:hAnsi="仿宋" w:eastAsia="仿宋" w:cs="仿宋"/>
                <w:color w:val="000000" w:themeColor="text1"/>
                <w:sz w:val="24"/>
                <w:szCs w:val="24"/>
                <w14:textFill>
                  <w14:solidFill>
                    <w14:schemeClr w14:val="tx1"/>
                  </w14:solidFill>
                </w14:textFill>
              </w:rPr>
              <w:t>区支架、箱变等混凝土基础后，场地应进行恢复，覆土厚度30cm，并将</w:t>
            </w:r>
            <w:r>
              <w:rPr>
                <w:rFonts w:hint="eastAsia" w:ascii="仿宋" w:hAnsi="仿宋" w:eastAsia="仿宋" w:cs="仿宋"/>
                <w:color w:val="000000" w:themeColor="text1"/>
                <w:sz w:val="24"/>
                <w:szCs w:val="24"/>
                <w:lang w:eastAsia="zh-CN"/>
                <w14:textFill>
                  <w14:solidFill>
                    <w14:schemeClr w14:val="tx1"/>
                  </w14:solidFill>
                </w14:textFill>
              </w:rPr>
              <w:t>风机</w:t>
            </w:r>
            <w:r>
              <w:rPr>
                <w:rFonts w:hint="eastAsia" w:ascii="仿宋" w:hAnsi="仿宋" w:eastAsia="仿宋" w:cs="仿宋"/>
                <w:color w:val="000000" w:themeColor="text1"/>
                <w:sz w:val="24"/>
                <w:szCs w:val="24"/>
                <w:lang w:val="en-US" w:eastAsia="zh-CN"/>
                <w14:textFill>
                  <w14:solidFill>
                    <w14:schemeClr w14:val="tx1"/>
                  </w14:solidFill>
                </w14:textFill>
              </w:rPr>
              <w:t>机组</w:t>
            </w:r>
            <w:r>
              <w:rPr>
                <w:rFonts w:hint="eastAsia" w:ascii="仿宋" w:hAnsi="仿宋" w:eastAsia="仿宋" w:cs="仿宋"/>
                <w:color w:val="000000" w:themeColor="text1"/>
                <w:sz w:val="24"/>
                <w:szCs w:val="24"/>
                <w14:textFill>
                  <w14:solidFill>
                    <w14:schemeClr w14:val="tx1"/>
                  </w14:solidFill>
                </w14:textFill>
              </w:rPr>
              <w:t>侵蚀沟和低洼区域填土、平整，恢复后的场地进行洒水和压实，以固结地表，防止产生扬尘和对土壤的风蚀，进行植被恢复，对于少量不能进行植被恢复的区域，进行平整压实，以减轻水土流失。</w:t>
            </w:r>
          </w:p>
          <w:p>
            <w:pPr>
              <w:spacing w:line="360" w:lineRule="auto"/>
              <w:ind w:firstLine="480" w:firstLine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④</w:t>
            </w:r>
            <w:r>
              <w:rPr>
                <w:rFonts w:hint="eastAsia" w:ascii="仿宋" w:hAnsi="仿宋" w:eastAsia="仿宋" w:cs="仿宋"/>
                <w:color w:val="000000" w:themeColor="text1"/>
                <w:sz w:val="24"/>
                <w:szCs w:val="24"/>
                <w:lang w:eastAsia="zh-CN"/>
                <w14:textFill>
                  <w14:solidFill>
                    <w14:schemeClr w14:val="tx1"/>
                  </w14:solidFill>
                </w14:textFill>
              </w:rPr>
              <w:t>风机机组</w:t>
            </w:r>
            <w:r>
              <w:rPr>
                <w:rFonts w:hint="eastAsia" w:ascii="仿宋" w:hAnsi="仿宋" w:eastAsia="仿宋" w:cs="仿宋"/>
                <w:color w:val="000000" w:themeColor="text1"/>
                <w:sz w:val="24"/>
                <w:szCs w:val="24"/>
                <w14:textFill>
                  <w14:solidFill>
                    <w14:schemeClr w14:val="tx1"/>
                  </w14:solidFill>
                </w14:textFill>
              </w:rPr>
              <w:t>设备拆除完毕后，应做好植被恢复措施。选择在</w:t>
            </w:r>
            <w:r>
              <w:rPr>
                <w:rFonts w:hint="eastAsia" w:ascii="仿宋" w:hAnsi="仿宋" w:eastAsia="仿宋" w:cs="仿宋"/>
                <w:color w:val="000000" w:themeColor="text1"/>
                <w:sz w:val="24"/>
                <w:szCs w:val="24"/>
                <w:lang w:eastAsia="zh-CN"/>
                <w14:textFill>
                  <w14:solidFill>
                    <w14:schemeClr w14:val="tx1"/>
                  </w14:solidFill>
                </w14:textFill>
              </w:rPr>
              <w:t>风机</w:t>
            </w:r>
            <w:r>
              <w:rPr>
                <w:rFonts w:hint="eastAsia" w:ascii="仿宋" w:hAnsi="仿宋" w:eastAsia="仿宋" w:cs="仿宋"/>
                <w:color w:val="000000" w:themeColor="text1"/>
                <w:sz w:val="24"/>
                <w:szCs w:val="24"/>
                <w14:textFill>
                  <w14:solidFill>
                    <w14:schemeClr w14:val="tx1"/>
                  </w14:solidFill>
                </w14:textFill>
              </w:rPr>
              <w:t>场区种植</w:t>
            </w:r>
            <w:r>
              <w:rPr>
                <w:rFonts w:hint="eastAsia" w:ascii="仿宋" w:hAnsi="仿宋" w:eastAsia="仿宋" w:cs="仿宋"/>
                <w:color w:val="000000" w:themeColor="text1"/>
                <w:sz w:val="24"/>
                <w:szCs w:val="24"/>
                <w:lang w:val="en-US" w:eastAsia="zh-CN"/>
                <w14:textFill>
                  <w14:solidFill>
                    <w14:schemeClr w14:val="tx1"/>
                  </w14:solidFill>
                </w14:textFill>
              </w:rPr>
              <w:t>植物园</w:t>
            </w:r>
            <w:r>
              <w:rPr>
                <w:rFonts w:hint="eastAsia" w:ascii="仿宋" w:hAnsi="仿宋" w:eastAsia="仿宋" w:cs="仿宋"/>
                <w:color w:val="000000" w:themeColor="text1"/>
                <w:sz w:val="24"/>
                <w:szCs w:val="24"/>
                <w14:textFill>
                  <w14:solidFill>
                    <w14:schemeClr w14:val="tx1"/>
                  </w14:solidFill>
                </w14:textFill>
              </w:rPr>
              <w:t>，与</w:t>
            </w:r>
            <w:r>
              <w:rPr>
                <w:rFonts w:hint="eastAsia" w:ascii="仿宋" w:hAnsi="仿宋" w:eastAsia="仿宋" w:cs="仿宋"/>
                <w:color w:val="000000" w:themeColor="text1"/>
                <w:sz w:val="24"/>
                <w:szCs w:val="24"/>
                <w:lang w:val="en-US" w:eastAsia="zh-CN"/>
                <w14:textFill>
                  <w14:solidFill>
                    <w14:schemeClr w14:val="tx1"/>
                  </w14:solidFill>
                </w14:textFill>
              </w:rPr>
              <w:t>当地植物</w:t>
            </w:r>
            <w:r>
              <w:rPr>
                <w:rFonts w:hint="eastAsia" w:ascii="仿宋" w:hAnsi="仿宋" w:eastAsia="仿宋" w:cs="仿宋"/>
                <w:color w:val="000000" w:themeColor="text1"/>
                <w:sz w:val="24"/>
                <w:szCs w:val="24"/>
                <w14:textFill>
                  <w14:solidFill>
                    <w14:schemeClr w14:val="tx1"/>
                  </w14:solidFill>
                </w14:textFill>
              </w:rPr>
              <w:t>保持一致，适度补植补种乡土树种、草种。禁止引入外来物种，产生生态入侵。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08" w:type="pct"/>
            <w:noWrap w:val="0"/>
            <w:vAlign w:val="center"/>
          </w:tcPr>
          <w:p>
            <w:pPr>
              <w:adjustRightInd w:val="0"/>
              <w:snapToGrid w:val="0"/>
              <w:jc w:val="center"/>
              <w:rPr>
                <w:rFonts w:hint="eastAsia" w:ascii="仿宋" w:hAnsi="仿宋" w:eastAsia="仿宋" w:cs="仿宋"/>
                <w:bCs/>
                <w:color w:val="000000" w:themeColor="text1"/>
                <w:spacing w:val="10"/>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其他</w:t>
            </w:r>
          </w:p>
        </w:tc>
        <w:tc>
          <w:tcPr>
            <w:tcW w:w="4591" w:type="pct"/>
            <w:noWrap w:val="0"/>
            <w:vAlign w:val="top"/>
          </w:tcPr>
          <w:p>
            <w:pPr>
              <w:spacing w:line="360" w:lineRule="auto"/>
              <w:ind w:firstLine="480"/>
              <w:rPr>
                <w:rFonts w:hint="eastAsia" w:ascii="仿宋" w:hAnsi="仿宋" w:eastAsia="仿宋" w:cs="仿宋"/>
                <w:b/>
                <w:bCs/>
                <w:color w:val="000000" w:themeColor="text1"/>
                <w:sz w:val="24"/>
                <w:szCs w:val="24"/>
                <w:lang w:eastAsia="zh-CN"/>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1、环境管理</w:t>
            </w:r>
            <w:r>
              <w:rPr>
                <w:rFonts w:hint="eastAsia" w:ascii="仿宋" w:hAnsi="仿宋" w:eastAsia="仿宋" w:cs="仿宋"/>
                <w:b/>
                <w:bCs/>
                <w:color w:val="000000" w:themeColor="text1"/>
                <w:sz w:val="24"/>
                <w:szCs w:val="24"/>
                <w:lang w:eastAsia="zh-CN"/>
                <w14:textFill>
                  <w14:solidFill>
                    <w14:schemeClr w14:val="tx1"/>
                  </w14:solidFill>
                </w14:textFill>
              </w:rPr>
              <w:t>要求</w:t>
            </w:r>
          </w:p>
          <w:p>
            <w:pPr>
              <w:spacing w:line="360" w:lineRule="auto"/>
              <w:ind w:firstLine="48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1.1环境管理计划</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（1）前期阶段</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1）环境管理机构设置</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本项目为风电项目，主要污染物为施工期间的生态破坏和机械噪声等。为了做好生产全过程的环境保护工作，减轻本项目运营环境的影响程度，建设单位应高度重视环境保护工作。建议设立内部环境保护管理机构，负责环境保护工作，实行定岗定员，岗位责任制，负责各生产环节的环境保护管理，保证环保设施的正常运行。工程投入运行后，应设立环保科，专管项目的环境保护事宜。环保科负责环境管理和环境监控两大职能，受当地生态环境主管部门的指导和监督。</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2）环境保护管理机构应明确如下责任</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①保持与生态环境保护行政主管部门的密切联系，及时了解国家、地方对本项目的有关环境保护的法律、法规和其他要求，及时向环境保护行政主管部门反映与项目有关的污染因素、存在的问题、采取的污染控制对策等环境保护方面的内容，听取环境保护行政主管部门的批示意见；</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②宣传、贯彻和执行环境保护政策、法律法规及环境保护标准。开展环境保护宣传、教育、培训等专业知识普及工作； </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③编制并组织实施环境保护工作计划，监督计划落地执行，统筹开展日常环境保护管理工作；</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④牵头组织企业环境监测工作，建立完善监测台账与档案，编制环保工作简报、做好环境统计，确保企业管理层及上级主管部门及时掌握污染治理工作动态； </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⑤建立健全环境保护与劳动安全管理制度，监督工程施工期和服务期满后环保措施的有效实施。</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（2）施工期</w:t>
            </w:r>
            <w:r>
              <w:rPr>
                <w:rFonts w:hint="default" w:ascii="仿宋" w:hAnsi="仿宋" w:eastAsia="仿宋" w:cs="仿宋"/>
                <w:b w:val="0"/>
                <w:bCs w:val="0"/>
                <w:color w:val="000000" w:themeColor="text1"/>
                <w:sz w:val="24"/>
                <w:szCs w:val="24"/>
                <w:lang w:val="en-US" w:eastAsia="zh-CN"/>
                <w14:textFill>
                  <w14:solidFill>
                    <w14:schemeClr w14:val="tx1"/>
                  </w14:solidFill>
                </w14:textFill>
              </w:rPr>
              <w:t>环境管理要求</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工程施工期应严格实行招投标制和合同制，将工程的环境保护要求、环境保护设施建设、需达到的预期效果列入招标文件和合同中，明确相关的责任和要求。</w:t>
            </w:r>
          </w:p>
          <w:p>
            <w:pPr>
              <w:spacing w:line="360" w:lineRule="auto"/>
              <w:ind w:firstLine="48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施工期建设单位设1~2人专职人员，负责施工期的环境管理与监督，监督施工单位搞好工程的水土保持，植被恢复、施工噪声和施工扬尘防治等工作。</w:t>
            </w:r>
          </w:p>
          <w:p>
            <w:pPr>
              <w:pStyle w:val="11"/>
              <w:ind w:right="198"/>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表</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5</w:t>
            </w:r>
            <w:r>
              <w:rPr>
                <w:rFonts w:hint="eastAsia" w:ascii="仿宋" w:hAnsi="仿宋" w:eastAsia="仿宋" w:cs="仿宋"/>
                <w:b/>
                <w:bCs/>
                <w:color w:val="000000" w:themeColor="text1"/>
                <w:sz w:val="21"/>
                <w:szCs w:val="21"/>
                <w:highlight w:val="none"/>
                <w:lang w:eastAsia="zh-CN"/>
                <w14:textFill>
                  <w14:solidFill>
                    <w14:schemeClr w14:val="tx1"/>
                  </w14:solidFill>
                </w14:textFill>
              </w:rPr>
              <w:t>-1  项目施工期应重点关注的环境问题汇总表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1"/>
              <w:gridCol w:w="6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17"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施工阶段</w:t>
                  </w:r>
                </w:p>
              </w:tc>
              <w:tc>
                <w:tcPr>
                  <w:tcW w:w="7314"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监理工作中应关注的内容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17"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施工前期</w:t>
                  </w:r>
                </w:p>
              </w:tc>
              <w:tc>
                <w:tcPr>
                  <w:tcW w:w="7314" w:type="dxa"/>
                  <w:tcBorders>
                    <w:tl2br w:val="nil"/>
                    <w:tr2bl w:val="nil"/>
                  </w:tcBorders>
                  <w:noWrap w:val="0"/>
                  <w:vAlign w:val="center"/>
                </w:tcPr>
                <w:p>
                  <w:pPr>
                    <w:pStyle w:val="63"/>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收集环评及其批复文件、初步设计文件、施工图设计文件，以此为依据重点关注工程建设的变化情况，环评及其批复文件、初步设计文件和施工图设计文件中对于环保措施的要求；</w:t>
                  </w:r>
                </w:p>
                <w:p>
                  <w:pPr>
                    <w:pStyle w:val="63"/>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核查设计中风电场总平面布置、装机规模、升压站平面布置、集电线路布置、施工工艺、配套的环保设施及其规模等与环评及批复的符合性；</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（3）根据建设项目有关设计的规定，审查设计图纸签章、审查（批）手续是否齐全；</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4）重点针对工程与环境敏感区的位置关系是否发生重大变化，设计文件所提环保措施和设计的环境保护设施是否针对建设项目的工程环境、施工管理模式、现场实际情况，是否具备可操作性，同时对设计不满足环境影响报告及批复文件要求的环保治理措施，提出修改或增加建议；</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（5）编制环境监理工作规划和实施细则。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917"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施工期</w:t>
                  </w:r>
                </w:p>
              </w:tc>
              <w:tc>
                <w:tcPr>
                  <w:tcW w:w="7314"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施工期间，监督施工过程中环境保护措施的落实，以及为项目营运配套的污染治理设施的“三同时”工作执行情况。</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环境监理不定期对施工场地进行环境保护巡查，监督“三同时”中“同时施工”制度的有效落实，并对施工单位在施工过程中的环境保护措施落实情况、施工区及周边地区的环境状况、工程建设监理的现场监管情况等进行检查，就检查中发现的问题及时通知建设单位，并提出改进措施要求，跟踪直至问题解决。在检查中如发现重大环境问题时，向施工方下达《环境监理通知书》，整改完工后，由建设单位、工程监理、环境监理等相关单位检查认可。</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监督检查施工现场道路是否畅通，排水系统是否处于良好使用状态。重点对距离河道和水库较近</w:t>
                  </w:r>
                  <w:r>
                    <w:rPr>
                      <w:rFonts w:hint="eastAsia" w:ascii="仿宋" w:hAnsi="仿宋" w:eastAsia="仿宋" w:cs="仿宋"/>
                      <w:color w:val="000000" w:themeColor="text1"/>
                      <w:sz w:val="21"/>
                      <w:szCs w:val="21"/>
                      <w:highlight w:val="none"/>
                      <w:lang w:val="en-US" w:eastAsia="zh-CN"/>
                      <w14:textFill>
                        <w14:solidFill>
                          <w14:schemeClr w14:val="tx1"/>
                        </w14:solidFill>
                      </w14:textFill>
                    </w:rPr>
                    <w:t>工程</w:t>
                  </w:r>
                  <w:r>
                    <w:rPr>
                      <w:rFonts w:hint="eastAsia" w:ascii="仿宋" w:hAnsi="仿宋" w:eastAsia="仿宋" w:cs="仿宋"/>
                      <w:color w:val="000000" w:themeColor="text1"/>
                      <w:sz w:val="21"/>
                      <w:szCs w:val="21"/>
                      <w:highlight w:val="none"/>
                      <w:lang w:eastAsia="zh-CN"/>
                      <w14:textFill>
                        <w14:solidFill>
                          <w14:schemeClr w14:val="tx1"/>
                        </w14:solidFill>
                      </w14:textFill>
                    </w:rPr>
                    <w:t>施工行为进行监理，必须在枯水季节</w:t>
                  </w:r>
                  <w:r>
                    <w:rPr>
                      <w:rFonts w:hint="eastAsia" w:ascii="仿宋" w:hAnsi="仿宋" w:eastAsia="仿宋" w:cs="仿宋"/>
                      <w:color w:val="000000" w:themeColor="text1"/>
                      <w:sz w:val="21"/>
                      <w:szCs w:val="21"/>
                      <w:highlight w:val="none"/>
                      <w:lang w:val="en-US" w:eastAsia="zh-CN"/>
                      <w14:textFill>
                        <w14:solidFill>
                          <w14:schemeClr w14:val="tx1"/>
                        </w14:solidFill>
                      </w14:textFill>
                    </w:rPr>
                    <w:t>施工</w:t>
                  </w:r>
                  <w:r>
                    <w:rPr>
                      <w:rFonts w:hint="eastAsia" w:ascii="仿宋" w:hAnsi="仿宋" w:eastAsia="仿宋" w:cs="仿宋"/>
                      <w:color w:val="000000" w:themeColor="text1"/>
                      <w:sz w:val="21"/>
                      <w:szCs w:val="21"/>
                      <w:highlight w:val="none"/>
                      <w:lang w:eastAsia="zh-CN"/>
                      <w14:textFill>
                        <w14:solidFill>
                          <w14:schemeClr w14:val="tx1"/>
                        </w14:solidFill>
                      </w14:textFill>
                    </w:rPr>
                    <w:t>，关注环评及其批复文件所提环保措施是否落实到位。</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监督检查施工废水及废气</w:t>
                  </w:r>
                  <w:r>
                    <w:rPr>
                      <w:rFonts w:hint="eastAsia" w:ascii="仿宋" w:hAnsi="仿宋" w:eastAsia="仿宋" w:cs="仿宋"/>
                      <w:color w:val="000000" w:themeColor="text1"/>
                      <w:sz w:val="21"/>
                      <w:szCs w:val="21"/>
                      <w:highlight w:val="none"/>
                      <w:lang w:val="en-US" w:eastAsia="zh-CN"/>
                      <w14:textFill>
                        <w14:solidFill>
                          <w14:schemeClr w14:val="tx1"/>
                        </w14:solidFill>
                      </w14:textFill>
                    </w:rPr>
                    <w:t>防治</w:t>
                  </w:r>
                  <w:r>
                    <w:rPr>
                      <w:rFonts w:hint="eastAsia" w:ascii="仿宋" w:hAnsi="仿宋" w:eastAsia="仿宋" w:cs="仿宋"/>
                      <w:color w:val="000000" w:themeColor="text1"/>
                      <w:sz w:val="21"/>
                      <w:szCs w:val="21"/>
                      <w:highlight w:val="none"/>
                      <w:lang w:eastAsia="zh-CN"/>
                      <w14:textFill>
                        <w14:solidFill>
                          <w14:schemeClr w14:val="tx1"/>
                        </w14:solidFill>
                      </w14:textFill>
                    </w:rPr>
                    <w:t>情况、施工噪声控制情况、施工人员生活垃圾及生活污水处置情况。</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监督检查施工道路排水、护坡修建情况。</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监督检查固体废物的分类存储和处理工作，达到保持工程所在现场清洁整齐的要求。</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定期主持召开环保专项工程例会，按要求编写环境监理阶段报告，并定期向建设单位报送环境监理阶段报告。</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对施工期间以及完工后采取的生态保护和恢复措施进行监理。</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监督环评报告及其批复中所提出的运行期污染防治的各项治理工程和环保工程的工艺、设备、能力、规模、进度，按照设计文件的要求进行有效落实，确保项目"三同时"工作在各个阶段落实到位。</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根据环评报告的要求做好施工期污染物排放的环境监测、检查、检验工作，为环境保护监理提供必要的监测数据。</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参与调查处理施工期的环境污染事故和环境污染纠纷。</w:t>
                  </w:r>
                </w:p>
                <w:p>
                  <w:pPr>
                    <w:pStyle w:val="63"/>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对施工人员做好环境保护方面的培训工作，培养大家爱护环境、防止污染的意识。</w:t>
                  </w:r>
                </w:p>
              </w:tc>
            </w:tr>
          </w:tbl>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（3）运营期环境管理要求</w:t>
            </w:r>
          </w:p>
          <w:p>
            <w:pPr>
              <w:tabs>
                <w:tab w:val="left" w:pos="1608"/>
              </w:tabs>
              <w:adjustRightInd w:val="0"/>
              <w:snapToGrid w:val="0"/>
              <w:spacing w:before="72" w:beforeLines="30" w:after="72" w:afterLines="30" w:line="360" w:lineRule="auto"/>
              <w:ind w:left="420" w:leftChars="200"/>
              <w:rPr>
                <w:rFonts w:hint="eastAsia" w:ascii="仿宋" w:hAnsi="仿宋" w:eastAsia="仿宋" w:cs="仿宋"/>
                <w:b/>
                <w:bCs/>
                <w:color w:val="000000" w:themeColor="text1"/>
                <w:sz w:val="24"/>
                <w:szCs w:val="32"/>
                <w:highlight w:val="none"/>
                <w:lang w:eastAsia="zh-CN"/>
                <w14:textFill>
                  <w14:solidFill>
                    <w14:schemeClr w14:val="tx1"/>
                  </w14:solidFill>
                </w14:textFill>
              </w:rPr>
            </w:pPr>
            <w:r>
              <w:rPr>
                <w:rFonts w:hint="eastAsia" w:ascii="仿宋" w:hAnsi="仿宋" w:eastAsia="仿宋" w:cs="仿宋"/>
                <w:b/>
                <w:bCs/>
                <w:color w:val="000000" w:themeColor="text1"/>
                <w:sz w:val="24"/>
                <w:szCs w:val="32"/>
                <w:highlight w:val="none"/>
                <w:lang w:eastAsia="zh-CN"/>
                <w14:textFill>
                  <w14:solidFill>
                    <w14:schemeClr w14:val="tx1"/>
                  </w14:solidFill>
                </w14:textFill>
              </w:rPr>
              <w:t>1）运营期管理机构及职责</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按照现行环保管理要求，营运期管理工作主要职责是：</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①制定企业环境管理组织机构和职责文件；</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②制定污染控制管理文件和台账管理；</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③监督所有污染控制设施的操作和维修；组织监测废噪声的排放情况和影响，监督固体废物管理；</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④组织开展环境管理体系的内部审核；</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pacing w:val="-1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⑤</w:t>
            </w:r>
            <w:r>
              <w:rPr>
                <w:rFonts w:hint="eastAsia" w:ascii="仿宋" w:hAnsi="仿宋" w:eastAsia="仿宋" w:cs="仿宋"/>
                <w:color w:val="000000" w:themeColor="text1"/>
                <w:spacing w:val="-11"/>
                <w:sz w:val="24"/>
                <w:szCs w:val="24"/>
                <w:highlight w:val="none"/>
                <w:lang w:eastAsia="zh-CN"/>
                <w14:textFill>
                  <w14:solidFill>
                    <w14:schemeClr w14:val="tx1"/>
                  </w14:solidFill>
                </w14:textFill>
              </w:rPr>
              <w:t>健全企业环保技术档案及污染物排放记录；向当地生态环境主管部门报告。</w:t>
            </w:r>
          </w:p>
          <w:p>
            <w:pPr>
              <w:tabs>
                <w:tab w:val="left" w:pos="1608"/>
              </w:tabs>
              <w:adjustRightInd w:val="0"/>
              <w:snapToGrid w:val="0"/>
              <w:spacing w:before="72" w:beforeLines="30" w:after="72" w:afterLines="30" w:line="360" w:lineRule="auto"/>
              <w:ind w:left="420" w:leftChars="200"/>
              <w:rPr>
                <w:rFonts w:hint="eastAsia" w:ascii="仿宋" w:hAnsi="仿宋" w:eastAsia="仿宋" w:cs="仿宋"/>
                <w:b/>
                <w:bCs/>
                <w:color w:val="000000" w:themeColor="text1"/>
                <w:sz w:val="24"/>
                <w:szCs w:val="32"/>
                <w:highlight w:val="none"/>
                <w:lang w:eastAsia="zh-CN"/>
                <w14:textFill>
                  <w14:solidFill>
                    <w14:schemeClr w14:val="tx1"/>
                  </w14:solidFill>
                </w14:textFill>
              </w:rPr>
            </w:pPr>
            <w:r>
              <w:rPr>
                <w:rFonts w:hint="eastAsia" w:ascii="仿宋" w:hAnsi="仿宋" w:eastAsia="仿宋" w:cs="仿宋"/>
                <w:b/>
                <w:bCs/>
                <w:color w:val="000000" w:themeColor="text1"/>
                <w:sz w:val="24"/>
                <w:szCs w:val="32"/>
                <w:highlight w:val="none"/>
                <w:lang w:eastAsia="zh-CN"/>
                <w14:textFill>
                  <w14:solidFill>
                    <w14:schemeClr w14:val="tx1"/>
                  </w14:solidFill>
                </w14:textFill>
              </w:rPr>
              <w:t>2）运营期环境管理要求</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营运期的环境管理的重点是各项环境保护措施的落实，环保设施运行的管理和维护，日常的监测及污染事故的防范和应急处理。</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①制定和实施各项环境管理计划。</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②掌握项目所在地周围的环境特征和环境保护目标情况。建立环境管理和环境监测技术文件，做好记录、建档工作。技术文件包括：污染源的监测记录技术文件；污染控制、环境保护设施的设计和运行管理文件；导致严重环境影响事件的分析报告和监测数据资料等。并定期向当地生态环境主管部门申报。</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③检查治理设施运行情况，及时处理出现的问题，保证治理设施的正常运行。</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④不定期地进行巡查，特别是各环境保护对象，保护生态环境不被破坏，保证保护生态与工程运行相协调。</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⑤协调配合上级生态环境主管部门所进行的环境调查，生态调查等活动。</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⑥环保设施的环境管理：选用先进的环保设备、先进技术和高效的环保设施，加强对其维护、检修，保养，严格环保设备的使用、操作规程，环保设施应经竣工验收合格达标后方能投入运转。建立环保设施运行台账，对在用的环保和生产主体设备要求做到同时维护、同时检修、同时运行。</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⑦废弃物管理：项目废弃物处置时，尽可能采用减量化、资源化利用措施。委托处置的应与处置单位签订委托处理合同，报生态环境主管部门备案。废弃物在外运处置前，须在站内安全暂存，确保固废不产生二次污染。废物产生、销售和外运的全过程，公司需制定管理跟踪制度，务必做到安全、可控，各环节应建立台账并进行记录，台账和记录应至少保存三年。</w:t>
            </w:r>
          </w:p>
          <w:p>
            <w:pPr>
              <w:pStyle w:val="64"/>
              <w:tabs>
                <w:tab w:val="left" w:pos="1245"/>
              </w:tabs>
              <w:adjustRightInd w:val="0"/>
              <w:snapToGrid w:val="0"/>
              <w:spacing w:before="72" w:beforeLines="30" w:after="72" w:afterLines="30" w:line="360" w:lineRule="auto"/>
              <w:ind w:left="0" w:firstLine="480" w:firstLineChars="20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⑧派专人负责观察鸟类的碰撞丧生情况，特别是在每年的鸟类迁徙高峰期。</w:t>
            </w:r>
          </w:p>
          <w:p>
            <w:pPr>
              <w:pStyle w:val="11"/>
              <w:spacing w:before="157" w:after="14"/>
              <w:ind w:right="199"/>
              <w:jc w:val="center"/>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表</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5</w:t>
            </w:r>
            <w:r>
              <w:rPr>
                <w:rFonts w:hint="eastAsia" w:ascii="仿宋" w:hAnsi="仿宋" w:eastAsia="仿宋" w:cs="仿宋"/>
                <w:b/>
                <w:bCs/>
                <w:color w:val="000000" w:themeColor="text1"/>
                <w:sz w:val="21"/>
                <w:szCs w:val="21"/>
                <w:highlight w:val="none"/>
                <w:lang w:eastAsia="zh-CN"/>
                <w14:textFill>
                  <w14:solidFill>
                    <w14:schemeClr w14:val="tx1"/>
                  </w14:solidFill>
                </w14:textFill>
              </w:rPr>
              <w:t>-2  运营期项目环境管理要求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0"/>
              <w:gridCol w:w="6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920"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阶段</w:t>
                  </w:r>
                </w:p>
              </w:tc>
              <w:tc>
                <w:tcPr>
                  <w:tcW w:w="7341"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监理工作中应关注的内容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jc w:val="center"/>
              </w:trPr>
              <w:tc>
                <w:tcPr>
                  <w:tcW w:w="920"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试运营</w:t>
                  </w:r>
                </w:p>
              </w:tc>
              <w:tc>
                <w:tcPr>
                  <w:tcW w:w="7341"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工程竣工后，要监督管理环境恢复监测和环境恢复计划的落实情况及环保处理设施运行情况。</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（1）监督检查施工场地清理及恢复情况。</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（2）监督检查工程生态恢复落实情况。</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3</w:t>
                  </w:r>
                  <w:r>
                    <w:rPr>
                      <w:rFonts w:hint="eastAsia" w:ascii="仿宋" w:hAnsi="仿宋" w:eastAsia="仿宋" w:cs="仿宋"/>
                      <w:color w:val="000000" w:themeColor="text1"/>
                      <w:sz w:val="21"/>
                      <w:szCs w:val="21"/>
                      <w:highlight w:val="none"/>
                      <w:lang w:eastAsia="zh-CN"/>
                      <w14:textFill>
                        <w14:solidFill>
                          <w14:schemeClr w14:val="tx1"/>
                        </w14:solidFill>
                      </w14:textFill>
                    </w:rPr>
                    <w:t>）监督检查工程的截排水沟、沉淀池等环保、水保措施的落实、完善情况。</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4</w:t>
                  </w:r>
                  <w:r>
                    <w:rPr>
                      <w:rFonts w:hint="eastAsia" w:ascii="仿宋" w:hAnsi="仿宋" w:eastAsia="仿宋" w:cs="仿宋"/>
                      <w:color w:val="000000" w:themeColor="text1"/>
                      <w:sz w:val="21"/>
                      <w:szCs w:val="21"/>
                      <w:highlight w:val="none"/>
                      <w:lang w:eastAsia="zh-CN"/>
                      <w14:textFill>
                        <w14:solidFill>
                          <w14:schemeClr w14:val="tx1"/>
                        </w14:solidFill>
                      </w14:textFill>
                    </w:rPr>
                    <w:t>）开展鸟类跟踪观测，观察并记录鸟类伤亡数量，做好鸟迁徙期的巡护工作。</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5</w:t>
                  </w:r>
                  <w:r>
                    <w:rPr>
                      <w:rFonts w:hint="eastAsia" w:ascii="仿宋" w:hAnsi="仿宋" w:eastAsia="仿宋" w:cs="仿宋"/>
                      <w:color w:val="000000" w:themeColor="text1"/>
                      <w:sz w:val="21"/>
                      <w:szCs w:val="21"/>
                      <w:highlight w:val="none"/>
                      <w:lang w:eastAsia="zh-CN"/>
                      <w14:textFill>
                        <w14:solidFill>
                          <w14:schemeClr w14:val="tx1"/>
                        </w14:solidFill>
                      </w14:textFill>
                    </w:rPr>
                    <w:t>）监督检查施工单位是否有遗留环境问题，并要求其进行整改。</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6</w:t>
                  </w:r>
                  <w:r>
                    <w:rPr>
                      <w:rFonts w:hint="eastAsia" w:ascii="仿宋" w:hAnsi="仿宋" w:eastAsia="仿宋" w:cs="仿宋"/>
                      <w:color w:val="000000" w:themeColor="text1"/>
                      <w:sz w:val="21"/>
                      <w:szCs w:val="21"/>
                      <w:highlight w:val="none"/>
                      <w:lang w:eastAsia="zh-CN"/>
                      <w14:textFill>
                        <w14:solidFill>
                          <w14:schemeClr w14:val="tx1"/>
                        </w14:solidFill>
                      </w14:textFill>
                    </w:rPr>
                    <w:t>）整理完成环境监理资料，编制环境监理总结报告。</w:t>
                  </w:r>
                </w:p>
                <w:p>
                  <w:pPr>
                    <w:pStyle w:val="6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7</w:t>
                  </w:r>
                  <w:r>
                    <w:rPr>
                      <w:rFonts w:hint="eastAsia" w:ascii="仿宋" w:hAnsi="仿宋" w:eastAsia="仿宋" w:cs="仿宋"/>
                      <w:color w:val="000000" w:themeColor="text1"/>
                      <w:sz w:val="21"/>
                      <w:szCs w:val="21"/>
                      <w:highlight w:val="none"/>
                      <w:lang w:eastAsia="zh-CN"/>
                      <w14:textFill>
                        <w14:solidFill>
                          <w14:schemeClr w14:val="tx1"/>
                        </w14:solidFill>
                      </w14:textFill>
                    </w:rPr>
                    <w:t>）协助建设单位做好竣工环保验收工作。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20"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应急计划</w:t>
                  </w:r>
                </w:p>
              </w:tc>
              <w:tc>
                <w:tcPr>
                  <w:tcW w:w="7341" w:type="dxa"/>
                  <w:tcBorders>
                    <w:tl2br w:val="nil"/>
                    <w:tr2bl w:val="nil"/>
                  </w:tcBorders>
                  <w:noWrap w:val="0"/>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）制订应急预案：做好突发性自然灾害的预防工作。密切与地震、水文和气象部门之间的信息沟通，及时制定完善的对策；制定风电场区</w:t>
                  </w:r>
                  <w:r>
                    <w:rPr>
                      <w:rFonts w:hint="eastAsia" w:ascii="仿宋" w:hAnsi="仿宋" w:eastAsia="仿宋" w:cs="仿宋"/>
                      <w:color w:val="000000" w:themeColor="text1"/>
                      <w:sz w:val="21"/>
                      <w:szCs w:val="21"/>
                      <w:highlight w:val="none"/>
                      <w:lang w:val="en-US" w:eastAsia="zh-CN"/>
                      <w14:textFill>
                        <w14:solidFill>
                          <w14:schemeClr w14:val="tx1"/>
                        </w14:solidFill>
                      </w14:textFill>
                    </w:rPr>
                    <w:t>突发环境</w:t>
                  </w:r>
                  <w:r>
                    <w:rPr>
                      <w:rFonts w:hint="eastAsia" w:ascii="仿宋" w:hAnsi="仿宋" w:eastAsia="仿宋" w:cs="仿宋"/>
                      <w:color w:val="000000" w:themeColor="text1"/>
                      <w:sz w:val="21"/>
                      <w:szCs w:val="21"/>
                      <w:highlight w:val="none"/>
                      <w:lang w:eastAsia="zh-CN"/>
                      <w14:textFill>
                        <w14:solidFill>
                          <w14:schemeClr w14:val="tx1"/>
                        </w14:solidFill>
                      </w14:textFill>
                    </w:rPr>
                    <w:t>风险事故预案，建立事故风险应急系统。方案应经有关部门协商和认同，一旦发生事故时，可以有效协调实施。应急预案应包括控制事故蔓延、减少影响范围的具体行动计划：包括救护措施，保护站场内人员和财产、设备及周围环境安全所必须采取的措施和办法。制定火灾事故应急预案。</w:t>
                  </w:r>
                </w:p>
                <w:p>
                  <w:pPr>
                    <w:pStyle w:val="63"/>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）对事故隐患进行监护：对事故隐患进行监护，掌握事故隐患的发展状态，积极采取有效措施，从管理和技术上加强各制度的落实，严格执行操作规程，加强巡回检查和制定事故预案，防止事故发生。</w:t>
                  </w:r>
                </w:p>
                <w:p>
                  <w:pPr>
                    <w:pStyle w:val="63"/>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3</w:t>
                  </w:r>
                  <w:r>
                    <w:rPr>
                      <w:rFonts w:hint="eastAsia" w:ascii="仿宋" w:hAnsi="仿宋" w:eastAsia="仿宋" w:cs="仿宋"/>
                      <w:color w:val="000000" w:themeColor="text1"/>
                      <w:sz w:val="21"/>
                      <w:szCs w:val="21"/>
                      <w:highlight w:val="none"/>
                      <w:lang w:eastAsia="zh-CN"/>
                      <w14:textFill>
                        <w14:solidFill>
                          <w14:schemeClr w14:val="tx1"/>
                        </w14:solidFill>
                      </w14:textFill>
                    </w:rPr>
                    <w:t>）强化员工培训：有计划地对员工进行培训，吸收国内外事故中的预防措施和救援方案的经验，学习借鉴此类事故发生后的救助方案。日常要经常进行人员训练和实践演习，锻炼指挥队伍，以提高他们对事故的防范和处理能力。</w:t>
                  </w:r>
                </w:p>
              </w:tc>
            </w:tr>
          </w:tbl>
          <w:p>
            <w:pPr>
              <w:spacing w:line="360" w:lineRule="auto"/>
              <w:ind w:firstLine="482"/>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1.2施工期环境监理计划</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环境监理机构由工程建设单位在具有相应资质的单位中招标确定，因此本工程的环保监理人员建议由业主在招标设计文件中明确确定由专职或兼职负责场区的环境保护监理工作。</w:t>
            </w:r>
          </w:p>
          <w:p>
            <w:pPr>
              <w:keepNext w:val="0"/>
              <w:keepLines w:val="0"/>
              <w:pageBreakBefore w:val="0"/>
              <w:kinsoku/>
              <w:wordWrap/>
              <w:overflowPunct/>
              <w:topLinePunct w:val="0"/>
              <w:autoSpaceDE w:val="0"/>
              <w:autoSpaceDN w:val="0"/>
              <w:bidi w:val="0"/>
              <w:adjustRightInd w:val="0"/>
              <w:snapToGrid w:val="0"/>
              <w:spacing w:line="360" w:lineRule="auto"/>
              <w:ind w:firstLine="436" w:firstLineChars="200"/>
              <w:textAlignment w:val="auto"/>
              <w:rPr>
                <w:rFonts w:hint="eastAsia" w:ascii="仿宋" w:hAnsi="仿宋" w:eastAsia="仿宋" w:cs="仿宋"/>
                <w:b w:val="0"/>
                <w:bCs w:val="0"/>
                <w:color w:val="000000" w:themeColor="text1"/>
                <w:spacing w:val="-1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pacing w:val="-11"/>
                <w:kern w:val="0"/>
                <w:sz w:val="24"/>
                <w:szCs w:val="24"/>
                <w:highlight w:val="none"/>
                <w:lang w:val="en-US" w:eastAsia="zh-CN"/>
                <w14:textFill>
                  <w14:solidFill>
                    <w14:schemeClr w14:val="tx1"/>
                  </w14:solidFill>
                </w14:textFill>
              </w:rPr>
              <w:t>监理工程师应遵循国家和当地关于环境保护的方针、政策、法令、法规，监督承包商落实与建设单位签订的工程承包合同中有关的环保条款。主要职责为：</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（1）编制环境监理计划，拟定环境监理项目和内容；</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（2）对承包商进行监理，防止和减轻施工作业引起的环境污染；</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（3）全面监督和检查各施工单位环境保护措施实施情况和实际效果，及时处理和解决临时出现的环境事件；</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（4）全面检查施工单位负责的渣场、施工迹地的处理、恢复情况等；</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（5）负责落实环境监测的实施，审核有关环境报表，根据监测结果，对工程施工与管理提出相应要求，尽量减少工程施工给环境带来的不利影响；</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（6）在日常工作中做好监理记录及监理报告，参与竣工验收。</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本工程环境监理主要针对项目施工期，监理计划见下表：</w:t>
            </w:r>
          </w:p>
          <w:p>
            <w:pPr>
              <w:tabs>
                <w:tab w:val="left" w:pos="3615"/>
              </w:tabs>
              <w:spacing w:line="360" w:lineRule="auto"/>
              <w:ind w:firstLine="422" w:firstLineChars="200"/>
              <w:jc w:val="center"/>
              <w:rPr>
                <w:rFonts w:hint="eastAsia" w:ascii="仿宋" w:hAnsi="仿宋" w:eastAsia="仿宋" w:cs="仿宋"/>
                <w:b w:val="0"/>
                <w:bCs w:val="0"/>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lang w:val="en-US" w:eastAsia="zh-CN"/>
                <w14:textFill>
                  <w14:solidFill>
                    <w14:schemeClr w14:val="tx1"/>
                  </w14:solidFill>
                </w14:textFill>
              </w:rPr>
              <w:t>表 5-1 项目施工期间环境监理计划一览表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836"/>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1"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分类</w:t>
                  </w:r>
                </w:p>
              </w:tc>
              <w:tc>
                <w:tcPr>
                  <w:tcW w:w="1980"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项目</w:t>
                  </w:r>
                </w:p>
              </w:tc>
              <w:tc>
                <w:tcPr>
                  <w:tcW w:w="4700"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监理内容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水环境</w:t>
                  </w:r>
                </w:p>
              </w:tc>
              <w:tc>
                <w:tcPr>
                  <w:tcW w:w="198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生产废水、生活污水</w:t>
                  </w:r>
                </w:p>
              </w:tc>
              <w:tc>
                <w:tcPr>
                  <w:tcW w:w="470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做好施工期间废水的收集及回用工作，保证无污废水外排现象；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大气环境</w:t>
                  </w:r>
                </w:p>
              </w:tc>
              <w:tc>
                <w:tcPr>
                  <w:tcW w:w="1980"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地表开挖</w:t>
                  </w:r>
                </w:p>
              </w:tc>
              <w:tc>
                <w:tcPr>
                  <w:tcW w:w="470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洒水降尘，避免大风天作业，开挖的土石方及表土合理堆放、覆盖。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声环境</w:t>
                  </w:r>
                </w:p>
              </w:tc>
              <w:tc>
                <w:tcPr>
                  <w:tcW w:w="1980"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噪声</w:t>
                  </w:r>
                </w:p>
              </w:tc>
              <w:tc>
                <w:tcPr>
                  <w:tcW w:w="470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选用低噪声设备，加强维护以降低运行噪声；合理安排勘 探时间；合理布局设备，远离敏感点。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生态环境</w:t>
                  </w:r>
                </w:p>
              </w:tc>
              <w:tc>
                <w:tcPr>
                  <w:tcW w:w="1980"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植物保护</w:t>
                  </w:r>
                </w:p>
              </w:tc>
              <w:tc>
                <w:tcPr>
                  <w:tcW w:w="470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严防工作人员破坏工程区域以外的植被，控制开挖面；按要求做好施工期结束后的农田植被恢复工作。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p>
              </w:tc>
              <w:tc>
                <w:tcPr>
                  <w:tcW w:w="1980"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野生动物</w:t>
                  </w:r>
                </w:p>
              </w:tc>
              <w:tc>
                <w:tcPr>
                  <w:tcW w:w="470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采取环评提出措施做好施工期污染防治以降低对动物的干扰，加强宣传教育，严格管理，禁止工作人员捕杀野生动物。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restart"/>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固体废物处置</w:t>
                  </w:r>
                </w:p>
              </w:tc>
              <w:tc>
                <w:tcPr>
                  <w:tcW w:w="1980"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临时弃土</w:t>
                  </w:r>
                </w:p>
              </w:tc>
              <w:tc>
                <w:tcPr>
                  <w:tcW w:w="470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剥离表土分层堆放，分层回填，做好临时堆存点的覆盖工作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1" w:type="dxa"/>
                  <w:vMerge w:val="continue"/>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p>
              </w:tc>
              <w:tc>
                <w:tcPr>
                  <w:tcW w:w="1980"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生活垃圾处置</w:t>
                  </w:r>
                </w:p>
              </w:tc>
              <w:tc>
                <w:tcPr>
                  <w:tcW w:w="4700"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施工期间生活垃圾统一收集，无随意乱扔，自行填埋、焚烧等现象</w:t>
                  </w:r>
                </w:p>
              </w:tc>
            </w:tr>
          </w:tbl>
          <w:p>
            <w:pPr>
              <w:spacing w:line="360" w:lineRule="auto"/>
              <w:ind w:firstLine="482"/>
              <w:rPr>
                <w:rFonts w:hint="eastAsia" w:ascii="仿宋" w:hAnsi="仿宋" w:eastAsia="仿宋" w:cs="仿宋"/>
                <w:b/>
                <w:bCs/>
                <w:color w:val="000000" w:themeColor="text1"/>
                <w:sz w:val="24"/>
                <w:szCs w:val="24"/>
                <w:lang w:val="en-US"/>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2、竣工环境保护验收</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pPr>
            <w:r>
              <w:rPr>
                <w:rFonts w:hint="default" w:ascii="仿宋" w:hAnsi="仿宋" w:eastAsia="仿宋" w:cs="仿宋"/>
                <w:b w:val="0"/>
                <w:bCs w:val="0"/>
                <w:color w:val="000000" w:themeColor="text1"/>
                <w:kern w:val="0"/>
                <w:sz w:val="24"/>
                <w:szCs w:val="24"/>
                <w:highlight w:val="none"/>
                <w:lang w:val="en-US" w:eastAsia="zh-CN"/>
                <w14:textFill>
                  <w14:solidFill>
                    <w14:schemeClr w14:val="tx1"/>
                  </w14:solidFill>
                </w14:textFill>
              </w:rPr>
              <w:t>根据《建设项目竣工环境保护验收暂行办法》（国环规环评〔2017〕4号）文件，建设单位作为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建设项目配套建设的环境保护设施经验收合格，方可投入生产或者使用；未经验收或者验收不合格的，不得投入生产或者使用。</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本项目“三同时”竣工环境保护验收内容见表5-2。</w:t>
            </w:r>
          </w:p>
          <w:p>
            <w:pPr>
              <w:keepNext w:val="0"/>
              <w:keepLines w:val="0"/>
              <w:widowControl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000000" w:themeColor="text1"/>
                <w:sz w:val="21"/>
                <w:szCs w:val="21"/>
                <w:highlight w:val="none"/>
                <w:lang w:val="en-US"/>
                <w14:textFill>
                  <w14:solidFill>
                    <w14:schemeClr w14:val="tx1"/>
                  </w14:solidFill>
                </w14:textFill>
              </w:rPr>
            </w:pPr>
            <w:r>
              <w:rPr>
                <w:rFonts w:hint="eastAsia" w:ascii="仿宋" w:hAnsi="仿宋" w:eastAsia="仿宋" w:cs="仿宋"/>
                <w:b/>
                <w:bCs w:val="0"/>
                <w:color w:val="000000" w:themeColor="text1"/>
                <w:kern w:val="2"/>
                <w:sz w:val="21"/>
                <w:szCs w:val="21"/>
                <w:highlight w:val="none"/>
                <w:lang w:val="en-US" w:eastAsia="zh-CN" w:bidi="ar"/>
                <w14:textFill>
                  <w14:solidFill>
                    <w14:schemeClr w14:val="tx1"/>
                  </w14:solidFill>
                </w14:textFill>
              </w:rPr>
              <w:t>表5-2  “三同时”竣工环境保护验收内容一览表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424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类别</w:t>
                  </w:r>
                </w:p>
              </w:tc>
              <w:tc>
                <w:tcPr>
                  <w:tcW w:w="2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验收项目及设施</w:t>
                  </w:r>
                </w:p>
              </w:tc>
              <w:tc>
                <w:tcPr>
                  <w:tcW w:w="1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bidi="ar"/>
                      <w14:textFill>
                        <w14:solidFill>
                          <w14:schemeClr w14:val="tx1"/>
                        </w14:solidFill>
                      </w14:textFill>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生态环境</w:t>
                  </w:r>
                </w:p>
              </w:tc>
              <w:tc>
                <w:tcPr>
                  <w:tcW w:w="28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工程完成后，将施工期破坏的场地进行绿化，及时恢复临时占地植被，有效防止水土流失</w:t>
                  </w:r>
                  <w:r>
                    <w:rPr>
                      <w:rStyle w:val="60"/>
                      <w:rFonts w:hint="eastAsia" w:ascii="仿宋" w:hAnsi="仿宋" w:eastAsia="仿宋" w:cs="仿宋"/>
                      <w:color w:val="000000" w:themeColor="text1"/>
                      <w:sz w:val="21"/>
                      <w:szCs w:val="21"/>
                      <w:lang w:val="en-US" w:eastAsia="zh-CN"/>
                      <w14:textFill>
                        <w14:solidFill>
                          <w14:schemeClr w14:val="tx1"/>
                        </w14:solidFill>
                      </w14:textFill>
                    </w:rPr>
                    <w:t>，完成开关</w:t>
                  </w:r>
                  <w:r>
                    <w:rPr>
                      <w:rStyle w:val="60"/>
                      <w:rFonts w:hint="eastAsia" w:ascii="仿宋" w:hAnsi="仿宋" w:eastAsia="仿宋" w:cs="仿宋"/>
                      <w:color w:val="000000" w:themeColor="text1"/>
                      <w:sz w:val="21"/>
                      <w:szCs w:val="21"/>
                      <w14:textFill>
                        <w14:solidFill>
                          <w14:schemeClr w14:val="tx1"/>
                        </w14:solidFill>
                      </w14:textFill>
                    </w:rPr>
                    <w:t>站区绿化</w:t>
                  </w:r>
                  <w:r>
                    <w:rPr>
                      <w:rStyle w:val="60"/>
                      <w:rFonts w:hint="eastAsia" w:ascii="仿宋" w:hAnsi="仿宋" w:eastAsia="仿宋" w:cs="仿宋"/>
                      <w:color w:val="000000" w:themeColor="text1"/>
                      <w:sz w:val="21"/>
                      <w:szCs w:val="21"/>
                      <w:lang w:val="en-US" w:eastAsia="zh-CN"/>
                      <w14:textFill>
                        <w14:solidFill>
                          <w14:schemeClr w14:val="tx1"/>
                        </w14:solidFill>
                      </w14:textFill>
                    </w:rPr>
                    <w:t>100</w:t>
                  </w:r>
                  <w:r>
                    <w:rPr>
                      <w:rStyle w:val="60"/>
                      <w:rFonts w:hint="eastAsia" w:ascii="仿宋" w:hAnsi="仿宋" w:eastAsia="仿宋" w:cs="仿宋"/>
                      <w:color w:val="000000" w:themeColor="text1"/>
                      <w:sz w:val="21"/>
                      <w:szCs w:val="21"/>
                      <w14:textFill>
                        <w14:solidFill>
                          <w14:schemeClr w14:val="tx1"/>
                        </w14:solidFill>
                      </w14:textFill>
                    </w:rPr>
                    <w:t>m</w:t>
                  </w:r>
                  <w:r>
                    <w:rPr>
                      <w:rStyle w:val="60"/>
                      <w:rFonts w:hint="eastAsia" w:ascii="仿宋" w:hAnsi="仿宋" w:eastAsia="仿宋" w:cs="仿宋"/>
                      <w:color w:val="000000" w:themeColor="text1"/>
                      <w:sz w:val="21"/>
                      <w:szCs w:val="21"/>
                      <w:vertAlign w:val="superscript"/>
                      <w14:textFill>
                        <w14:solidFill>
                          <w14:schemeClr w14:val="tx1"/>
                        </w14:solidFill>
                      </w14:textFill>
                    </w:rPr>
                    <w:t>2</w:t>
                  </w:r>
                  <w:r>
                    <w:rPr>
                      <w:rStyle w:val="60"/>
                      <w:rFonts w:hint="eastAsia" w:ascii="仿宋" w:hAnsi="仿宋" w:eastAsia="仿宋" w:cs="仿宋"/>
                      <w:color w:val="000000" w:themeColor="text1"/>
                      <w:sz w:val="21"/>
                      <w:szCs w:val="21"/>
                      <w14:textFill>
                        <w14:solidFill>
                          <w14:schemeClr w14:val="tx1"/>
                        </w14:solidFill>
                      </w14:textFill>
                    </w:rPr>
                    <w:t>；道路工程区植草</w:t>
                  </w:r>
                  <w:r>
                    <w:rPr>
                      <w:rStyle w:val="60"/>
                      <w:rFonts w:hint="eastAsia" w:ascii="仿宋" w:hAnsi="仿宋" w:eastAsia="仿宋" w:cs="仿宋"/>
                      <w:color w:val="000000" w:themeColor="text1"/>
                      <w:sz w:val="21"/>
                      <w:szCs w:val="21"/>
                      <w:lang w:val="en-US" w:eastAsia="zh-CN"/>
                      <w14:textFill>
                        <w14:solidFill>
                          <w14:schemeClr w14:val="tx1"/>
                        </w14:solidFill>
                      </w14:textFill>
                    </w:rPr>
                    <w:t>XX</w:t>
                  </w:r>
                  <w:r>
                    <w:rPr>
                      <w:rStyle w:val="60"/>
                      <w:rFonts w:hint="eastAsia" w:ascii="仿宋" w:hAnsi="仿宋" w:eastAsia="仿宋" w:cs="仿宋"/>
                      <w:color w:val="000000" w:themeColor="text1"/>
                      <w:sz w:val="21"/>
                      <w:szCs w:val="21"/>
                      <w14:textFill>
                        <w14:solidFill>
                          <w14:schemeClr w14:val="tx1"/>
                        </w14:solidFill>
                      </w14:textFill>
                    </w:rPr>
                    <w:t>hm</w:t>
                  </w:r>
                  <w:r>
                    <w:rPr>
                      <w:rStyle w:val="60"/>
                      <w:rFonts w:hint="eastAsia" w:ascii="仿宋" w:hAnsi="仿宋" w:eastAsia="仿宋" w:cs="仿宋"/>
                      <w:color w:val="000000" w:themeColor="text1"/>
                      <w:sz w:val="21"/>
                      <w:szCs w:val="21"/>
                      <w:vertAlign w:val="superscript"/>
                      <w14:textFill>
                        <w14:solidFill>
                          <w14:schemeClr w14:val="tx1"/>
                        </w14:solidFill>
                      </w14:textFill>
                    </w:rPr>
                    <w:t>2</w:t>
                  </w:r>
                  <w:r>
                    <w:rPr>
                      <w:rStyle w:val="60"/>
                      <w:rFonts w:hint="eastAsia" w:ascii="仿宋" w:hAnsi="仿宋" w:eastAsia="仿宋" w:cs="仿宋"/>
                      <w:color w:val="000000" w:themeColor="text1"/>
                      <w:sz w:val="21"/>
                      <w:szCs w:val="21"/>
                      <w14:textFill>
                        <w14:solidFill>
                          <w14:schemeClr w14:val="tx1"/>
                        </w14:solidFill>
                      </w14:textFill>
                    </w:rPr>
                    <w:t>；集电线路区植被恢复</w:t>
                  </w:r>
                  <w:r>
                    <w:rPr>
                      <w:rStyle w:val="60"/>
                      <w:rFonts w:hint="eastAsia" w:ascii="仿宋" w:hAnsi="仿宋" w:eastAsia="仿宋" w:cs="仿宋"/>
                      <w:color w:val="000000" w:themeColor="text1"/>
                      <w:sz w:val="21"/>
                      <w:szCs w:val="21"/>
                      <w:lang w:val="en-US" w:eastAsia="zh-CN"/>
                      <w14:textFill>
                        <w14:solidFill>
                          <w14:schemeClr w14:val="tx1"/>
                        </w14:solidFill>
                      </w14:textFill>
                    </w:rPr>
                    <w:t>XX</w:t>
                  </w:r>
                  <w:r>
                    <w:rPr>
                      <w:rStyle w:val="60"/>
                      <w:rFonts w:hint="eastAsia" w:ascii="仿宋" w:hAnsi="仿宋" w:eastAsia="仿宋" w:cs="仿宋"/>
                      <w:color w:val="000000" w:themeColor="text1"/>
                      <w:sz w:val="21"/>
                      <w:szCs w:val="21"/>
                      <w14:textFill>
                        <w14:solidFill>
                          <w14:schemeClr w14:val="tx1"/>
                        </w14:solidFill>
                      </w14:textFill>
                    </w:rPr>
                    <w:t>hm</w:t>
                  </w:r>
                  <w:r>
                    <w:rPr>
                      <w:rStyle w:val="60"/>
                      <w:rFonts w:hint="eastAsia" w:ascii="仿宋" w:hAnsi="仿宋" w:eastAsia="仿宋" w:cs="仿宋"/>
                      <w:color w:val="000000" w:themeColor="text1"/>
                      <w:sz w:val="21"/>
                      <w:szCs w:val="21"/>
                      <w:vertAlign w:val="superscript"/>
                      <w14:textFill>
                        <w14:solidFill>
                          <w14:schemeClr w14:val="tx1"/>
                        </w14:solidFill>
                      </w14:textFill>
                    </w:rPr>
                    <w:t>2</w:t>
                  </w:r>
                  <w:r>
                    <w:rPr>
                      <w:rStyle w:val="60"/>
                      <w:rFonts w:hint="eastAsia" w:ascii="仿宋" w:hAnsi="仿宋" w:eastAsia="仿宋" w:cs="仿宋"/>
                      <w:color w:val="000000" w:themeColor="text1"/>
                      <w:sz w:val="21"/>
                      <w:szCs w:val="21"/>
                      <w14:textFill>
                        <w14:solidFill>
                          <w14:schemeClr w14:val="tx1"/>
                        </w14:solidFill>
                      </w14:textFill>
                    </w:rPr>
                    <w:t>。</w:t>
                  </w:r>
                </w:p>
              </w:tc>
              <w:tc>
                <w:tcPr>
                  <w:tcW w:w="1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color w:val="000000" w:themeColor="text1"/>
                      <w:spacing w:val="-1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spacing w:val="-11"/>
                      <w:kern w:val="0"/>
                      <w:sz w:val="21"/>
                      <w:szCs w:val="21"/>
                      <w:highlight w:val="none"/>
                      <w:lang w:val="en-US" w:eastAsia="zh-CN" w:bidi="ar"/>
                      <w14:textFill>
                        <w14:solidFill>
                          <w14:schemeClr w14:val="tx1"/>
                        </w14:solidFill>
                      </w14:textFill>
                    </w:rPr>
                    <w:t>临时占地有效恢复，落实水土保持措施；植被恢复总面积不低于XXhm</w:t>
                  </w:r>
                  <w:r>
                    <w:rPr>
                      <w:rFonts w:hint="eastAsia" w:ascii="仿宋" w:hAnsi="仿宋" w:eastAsia="仿宋" w:cs="仿宋"/>
                      <w:color w:val="000000" w:themeColor="text1"/>
                      <w:spacing w:val="-11"/>
                      <w:kern w:val="0"/>
                      <w:sz w:val="21"/>
                      <w:szCs w:val="21"/>
                      <w:highlight w:val="none"/>
                      <w:vertAlign w:val="superscript"/>
                      <w:lang w:val="en-US" w:eastAsia="zh-CN" w:bidi="ar"/>
                      <w14:textFill>
                        <w14:solidFill>
                          <w14:schemeClr w14:val="tx1"/>
                        </w14:solidFill>
                      </w14:textFill>
                    </w:rPr>
                    <w:t>2</w:t>
                  </w:r>
                  <w:r>
                    <w:rPr>
                      <w:rFonts w:hint="eastAsia" w:ascii="仿宋" w:hAnsi="仿宋" w:eastAsia="仿宋" w:cs="仿宋"/>
                      <w:color w:val="000000" w:themeColor="text1"/>
                      <w:spacing w:val="-11"/>
                      <w:kern w:val="0"/>
                      <w:sz w:val="21"/>
                      <w:szCs w:val="21"/>
                      <w:highlight w:val="none"/>
                      <w:lang w:val="en-US" w:eastAsia="zh-CN" w:bidi="ar"/>
                      <w14:textFill>
                        <w14:solidFill>
                          <w14:schemeClr w14:val="tx1"/>
                        </w14:solidFill>
                      </w14:textFill>
                    </w:rPr>
                    <w:t>；无施工遗留问题。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声环境</w:t>
                  </w:r>
                </w:p>
              </w:tc>
              <w:tc>
                <w:tcPr>
                  <w:tcW w:w="2815" w:type="pct"/>
                  <w:tcBorders>
                    <w:top w:val="single" w:color="auto" w:sz="4" w:space="0"/>
                    <w:left w:val="single" w:color="auto" w:sz="4" w:space="0"/>
                    <w:bottom w:val="single" w:color="auto" w:sz="4" w:space="0"/>
                    <w:right w:val="single" w:color="auto" w:sz="4" w:space="0"/>
                  </w:tcBorders>
                  <w:noWrap w:val="0"/>
                  <w:vAlign w:val="center"/>
                </w:tcPr>
                <w:p>
                  <w:pPr>
                    <w:pStyle w:val="58"/>
                    <w:bidi w:val="0"/>
                    <w:spacing w:line="240" w:lineRule="auto"/>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开关站处的声环境质量</w:t>
                  </w:r>
                </w:p>
              </w:tc>
              <w:tc>
                <w:tcPr>
                  <w:tcW w:w="1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满足《声环境质量标准》（GB 3096-2008）1类标准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厂界噪声</w:t>
                  </w:r>
                </w:p>
              </w:tc>
              <w:tc>
                <w:tcPr>
                  <w:tcW w:w="2815" w:type="pct"/>
                  <w:tcBorders>
                    <w:top w:val="single" w:color="auto" w:sz="4" w:space="0"/>
                    <w:left w:val="single" w:color="auto" w:sz="4" w:space="0"/>
                    <w:bottom w:val="single" w:color="auto" w:sz="4" w:space="0"/>
                    <w:right w:val="single" w:color="auto" w:sz="4" w:space="0"/>
                  </w:tcBorders>
                  <w:noWrap w:val="0"/>
                  <w:vAlign w:val="center"/>
                </w:tcPr>
                <w:p>
                  <w:pPr>
                    <w:pStyle w:val="58"/>
                    <w:bidi w:val="0"/>
                    <w:spacing w:line="240" w:lineRule="auto"/>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开关站东、南、西、北面厂界外各1m处</w:t>
                  </w:r>
                </w:p>
              </w:tc>
              <w:tc>
                <w:tcPr>
                  <w:tcW w:w="1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满足《工业企业厂界环境噪声排放标准》（GB12348-2008）1类标准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废水</w:t>
                  </w:r>
                </w:p>
              </w:tc>
              <w:tc>
                <w:tcPr>
                  <w:tcW w:w="2815" w:type="pct"/>
                  <w:tcBorders>
                    <w:top w:val="single" w:color="auto" w:sz="4" w:space="0"/>
                    <w:left w:val="single" w:color="auto" w:sz="4" w:space="0"/>
                    <w:bottom w:val="single" w:color="auto" w:sz="4" w:space="0"/>
                    <w:right w:val="single" w:color="auto" w:sz="4" w:space="0"/>
                  </w:tcBorders>
                  <w:noWrap w:val="0"/>
                  <w:vAlign w:val="center"/>
                </w:tcPr>
                <w:p>
                  <w:pPr>
                    <w:pStyle w:val="58"/>
                    <w:bidi w:val="0"/>
                    <w:spacing w:line="240" w:lineRule="auto"/>
                    <w:jc w:val="both"/>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①</w:t>
                  </w: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设置1座有效容积为</w:t>
                  </w: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的隔油池，1座有效容积为</w:t>
                  </w: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的化粪池和1座处理规模为</w:t>
                  </w: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d的一体化污水处理设备。食堂废水通过隔油池处理后排入站内污水管网，最终和其他生活污水一起汇入一体化污水处理设备进行处理，处理后的污水达到《城市污水再生利用城市杂用水水质》（GB/T18920-2020）城市绿化用水标准后回用站内绿化，不外排。</w:t>
                  </w:r>
                </w:p>
                <w:p>
                  <w:pPr>
                    <w:pStyle w:val="58"/>
                    <w:bidi w:val="0"/>
                    <w:spacing w:line="24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②</w:t>
                  </w: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设置1座有效容积为2.5m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的回用水池，收集雨天一体化污水处理设备尾水，待天晴后回用，不外排。</w:t>
                  </w:r>
                </w:p>
              </w:tc>
              <w:tc>
                <w:tcPr>
                  <w:tcW w:w="1735" w:type="pct"/>
                  <w:tcBorders>
                    <w:top w:val="single" w:color="auto" w:sz="4" w:space="0"/>
                    <w:left w:val="single" w:color="auto" w:sz="4" w:space="0"/>
                    <w:bottom w:val="single" w:color="auto" w:sz="4" w:space="0"/>
                    <w:right w:val="single" w:color="auto" w:sz="4" w:space="0"/>
                  </w:tcBorders>
                  <w:noWrap w:val="0"/>
                  <w:vAlign w:val="center"/>
                </w:tcPr>
                <w:p>
                  <w:pPr>
                    <w:pStyle w:val="58"/>
                    <w:bidi w:val="0"/>
                    <w:spacing w:line="24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无废水外排；一体化污水处理设备尾水满足《城市污水再生利用城市杂用水水质》（GB/T18920-2020）城市绿化用水标准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固体废物</w:t>
                  </w:r>
                </w:p>
              </w:tc>
              <w:tc>
                <w:tcPr>
                  <w:tcW w:w="2815" w:type="pct"/>
                  <w:tcBorders>
                    <w:top w:val="single" w:color="auto" w:sz="4" w:space="0"/>
                    <w:left w:val="single" w:color="auto" w:sz="4" w:space="0"/>
                    <w:bottom w:val="single" w:color="auto" w:sz="4" w:space="0"/>
                    <w:right w:val="single" w:color="auto" w:sz="4" w:space="0"/>
                  </w:tcBorders>
                  <w:noWrap w:val="0"/>
                  <w:vAlign w:val="center"/>
                </w:tcPr>
                <w:p>
                  <w:pPr>
                    <w:pStyle w:val="58"/>
                    <w:bidi w:val="0"/>
                    <w:spacing w:line="24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生活垃圾收集后清运至附近集镇生活垃圾集中收集点，由环卫部门清运处置；</w:t>
                  </w: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内设置1间20m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的一般固废暂存间，用于暂存平时碎裂的废</w:t>
                  </w:r>
                  <w:r>
                    <w:rPr>
                      <w:rFonts w:hint="eastAsia" w:ascii="仿宋" w:hAnsi="仿宋" w:eastAsia="仿宋" w:cs="仿宋"/>
                      <w:color w:val="000000" w:themeColor="text1"/>
                      <w:sz w:val="21"/>
                      <w:szCs w:val="21"/>
                      <w:lang w:val="en-US" w:eastAsia="zh-CN"/>
                      <w14:textFill>
                        <w14:solidFill>
                          <w14:schemeClr w14:val="tx1"/>
                        </w14:solidFill>
                      </w14:textFill>
                    </w:rPr>
                    <w:t>备件</w:t>
                  </w:r>
                  <w:r>
                    <w:rPr>
                      <w:rFonts w:hint="eastAsia" w:ascii="仿宋" w:hAnsi="仿宋" w:eastAsia="仿宋" w:cs="仿宋"/>
                      <w:color w:val="000000" w:themeColor="text1"/>
                      <w:sz w:val="21"/>
                      <w:szCs w:val="21"/>
                      <w14:textFill>
                        <w14:solidFill>
                          <w14:schemeClr w14:val="tx1"/>
                        </w14:solidFill>
                      </w14:textFill>
                    </w:rPr>
                    <w:t>，最终由厂家回收处理；</w:t>
                  </w:r>
                  <w:r>
                    <w:rPr>
                      <w:rFonts w:hint="eastAsia" w:ascii="仿宋" w:hAnsi="仿宋" w:eastAsia="仿宋" w:cs="仿宋"/>
                      <w:color w:val="000000" w:themeColor="text1"/>
                      <w:spacing w:val="-2"/>
                      <w:sz w:val="21"/>
                      <w:szCs w:val="21"/>
                      <w14:textFill>
                        <w14:solidFill>
                          <w14:schemeClr w14:val="tx1"/>
                        </w14:solidFill>
                      </w14:textFill>
                    </w:rPr>
                    <w:t>化粪池污泥定期</w:t>
                  </w:r>
                  <w:r>
                    <w:rPr>
                      <w:rFonts w:hint="eastAsia" w:ascii="仿宋" w:hAnsi="仿宋" w:eastAsia="仿宋" w:cs="仿宋"/>
                      <w:color w:val="000000" w:themeColor="text1"/>
                      <w:sz w:val="21"/>
                      <w:szCs w:val="21"/>
                      <w:lang w:val="en-US" w:eastAsia="zh-CN"/>
                      <w14:textFill>
                        <w14:solidFill>
                          <w14:schemeClr w14:val="tx1"/>
                        </w14:solidFill>
                      </w14:textFill>
                    </w:rPr>
                    <w:t>委托环卫部门清掏</w:t>
                  </w:r>
                  <w:r>
                    <w:rPr>
                      <w:rFonts w:hint="eastAsia" w:ascii="仿宋" w:hAnsi="仿宋" w:eastAsia="仿宋" w:cs="仿宋"/>
                      <w:color w:val="000000" w:themeColor="text1"/>
                      <w:sz w:val="21"/>
                      <w:szCs w:val="21"/>
                      <w14:textFill>
                        <w14:solidFill>
                          <w14:schemeClr w14:val="tx1"/>
                        </w14:solidFill>
                      </w14:textFill>
                    </w:rPr>
                    <w:t>；隔油池废油脂</w:t>
                  </w:r>
                  <w:r>
                    <w:rPr>
                      <w:rFonts w:hint="eastAsia" w:ascii="仿宋" w:hAnsi="仿宋" w:eastAsia="仿宋" w:cs="仿宋"/>
                      <w:color w:val="000000" w:themeColor="text1"/>
                      <w:spacing w:val="-2"/>
                      <w:sz w:val="21"/>
                      <w:szCs w:val="21"/>
                      <w14:textFill>
                        <w14:solidFill>
                          <w14:schemeClr w14:val="tx1"/>
                        </w14:solidFill>
                      </w14:textFill>
                    </w:rPr>
                    <w:t>委托</w:t>
                  </w:r>
                  <w:r>
                    <w:rPr>
                      <w:rFonts w:hint="eastAsia" w:ascii="仿宋" w:hAnsi="仿宋" w:eastAsia="仿宋" w:cs="仿宋"/>
                      <w:color w:val="000000" w:themeColor="text1"/>
                      <w:sz w:val="21"/>
                      <w:szCs w:val="21"/>
                      <w:lang w:val="en-US" w:eastAsia="zh-CN"/>
                      <w14:textFill>
                        <w14:solidFill>
                          <w14:schemeClr w14:val="tx1"/>
                        </w14:solidFill>
                      </w14:textFill>
                    </w:rPr>
                    <w:t>具有餐厨垃圾处理资质的单位清掏处置</w:t>
                  </w:r>
                  <w:r>
                    <w:rPr>
                      <w:rFonts w:hint="eastAsia" w:ascii="仿宋" w:hAnsi="仿宋" w:eastAsia="仿宋" w:cs="仿宋"/>
                      <w:color w:val="000000" w:themeColor="text1"/>
                      <w:sz w:val="21"/>
                      <w:szCs w:val="21"/>
                      <w14:textFill>
                        <w14:solidFill>
                          <w14:schemeClr w14:val="tx1"/>
                        </w14:solidFill>
                      </w14:textFill>
                    </w:rPr>
                    <w:t>；</w:t>
                  </w: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主变旁设置1座有效容积</w:t>
                  </w:r>
                  <w:r>
                    <w:rPr>
                      <w:rFonts w:hint="eastAsia" w:ascii="仿宋" w:hAnsi="仿宋" w:eastAsia="仿宋" w:cs="仿宋"/>
                      <w:color w:val="000000" w:themeColor="text1"/>
                      <w:sz w:val="21"/>
                      <w:szCs w:val="21"/>
                      <w:lang w:val="en-US" w:eastAsia="zh-CN"/>
                      <w14:textFill>
                        <w14:solidFill>
                          <w14:schemeClr w14:val="tx1"/>
                        </w14:solidFill>
                      </w14:textFill>
                    </w:rPr>
                    <w:t>10</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事故油池，主变靠事故油池一侧设一座容积</w:t>
                  </w:r>
                  <w:r>
                    <w:rPr>
                      <w:rFonts w:hint="eastAsia" w:ascii="仿宋" w:hAnsi="仿宋" w:eastAsia="仿宋" w:cs="仿宋"/>
                      <w:color w:val="000000" w:themeColor="text1"/>
                      <w:sz w:val="21"/>
                      <w:szCs w:val="21"/>
                      <w:lang w:val="en-US" w:eastAsia="zh-CN"/>
                      <w14:textFill>
                        <w14:solidFill>
                          <w14:schemeClr w14:val="tx1"/>
                        </w14:solidFill>
                      </w14:textFill>
                    </w:rPr>
                    <w:t>5</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集油池，用于收集主变事故排放的废变压器油；每座箱变配备一座集油池，用于收集箱变事故排放的废变压器油，共4座；项目废矿物油采用油桶收集后于</w:t>
                  </w:r>
                  <w:r>
                    <w:rPr>
                      <w:rFonts w:hint="eastAsia" w:ascii="仿宋" w:hAnsi="仿宋" w:eastAsia="仿宋" w:cs="仿宋"/>
                      <w:color w:val="000000" w:themeColor="text1"/>
                      <w:sz w:val="21"/>
                      <w:szCs w:val="21"/>
                      <w:lang w:eastAsia="zh-CN"/>
                      <w14:textFill>
                        <w14:solidFill>
                          <w14:schemeClr w14:val="tx1"/>
                        </w14:solidFill>
                      </w14:textFill>
                    </w:rPr>
                    <w:t>危险废物暂存间</w:t>
                  </w:r>
                  <w:r>
                    <w:rPr>
                      <w:rFonts w:hint="eastAsia" w:ascii="仿宋" w:hAnsi="仿宋" w:eastAsia="仿宋" w:cs="仿宋"/>
                      <w:color w:val="000000" w:themeColor="text1"/>
                      <w:sz w:val="21"/>
                      <w:szCs w:val="21"/>
                      <w14:textFill>
                        <w14:solidFill>
                          <w14:schemeClr w14:val="tx1"/>
                        </w14:solidFill>
                      </w14:textFill>
                    </w:rPr>
                    <w:t>内分类暂存，定期委托有资质的单位清运处置；</w:t>
                  </w: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内设置1间10m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的</w:t>
                  </w:r>
                  <w:r>
                    <w:rPr>
                      <w:rFonts w:hint="eastAsia" w:ascii="仿宋" w:hAnsi="仿宋" w:eastAsia="仿宋" w:cs="仿宋"/>
                      <w:color w:val="000000" w:themeColor="text1"/>
                      <w:sz w:val="21"/>
                      <w:szCs w:val="21"/>
                      <w:lang w:eastAsia="zh-CN"/>
                      <w14:textFill>
                        <w14:solidFill>
                          <w14:schemeClr w14:val="tx1"/>
                        </w14:solidFill>
                      </w14:textFill>
                    </w:rPr>
                    <w:t>危险废物暂存间</w:t>
                  </w:r>
                  <w:r>
                    <w:rPr>
                      <w:rFonts w:hint="eastAsia" w:ascii="仿宋" w:hAnsi="仿宋" w:eastAsia="仿宋" w:cs="仿宋"/>
                      <w:color w:val="000000" w:themeColor="text1"/>
                      <w:sz w:val="21"/>
                      <w:szCs w:val="21"/>
                      <w14:textFill>
                        <w14:solidFill>
                          <w14:schemeClr w14:val="tx1"/>
                        </w14:solidFill>
                      </w14:textFill>
                    </w:rPr>
                    <w:t>，用于暂存项目运营产生的废矿物油、废变压器油、含油沾染物等危险废物</w:t>
                  </w:r>
                </w:p>
              </w:tc>
              <w:tc>
                <w:tcPr>
                  <w:tcW w:w="1735" w:type="pct"/>
                  <w:tcBorders>
                    <w:top w:val="single" w:color="auto" w:sz="4" w:space="0"/>
                    <w:left w:val="single" w:color="auto" w:sz="4" w:space="0"/>
                    <w:bottom w:val="single" w:color="auto" w:sz="4" w:space="0"/>
                    <w:right w:val="single" w:color="auto" w:sz="4" w:space="0"/>
                  </w:tcBorders>
                  <w:noWrap w:val="0"/>
                  <w:vAlign w:val="center"/>
                </w:tcPr>
                <w:p>
                  <w:pPr>
                    <w:pStyle w:val="58"/>
                    <w:bidi w:val="0"/>
                    <w:spacing w:line="240" w:lineRule="auto"/>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废气</w:t>
                  </w:r>
                </w:p>
              </w:tc>
              <w:tc>
                <w:tcPr>
                  <w:tcW w:w="281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58"/>
                    <w:bidi w:val="0"/>
                    <w:spacing w:line="24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厨房设置1台油烟净化效率</w:t>
                  </w:r>
                  <w:r>
                    <w:rPr>
                      <w:rFonts w:hint="eastAsia" w:ascii="仿宋" w:hAnsi="仿宋" w:eastAsia="仿宋" w:cs="仿宋"/>
                      <w:color w:val="000000" w:themeColor="text1"/>
                      <w:sz w:val="21"/>
                      <w:szCs w:val="21"/>
                      <w:lang w:val="en-US" w:eastAsia="zh-CN"/>
                      <w14:textFill>
                        <w14:solidFill>
                          <w14:schemeClr w14:val="tx1"/>
                        </w14:solidFill>
                      </w14:textFill>
                    </w:rPr>
                    <w:t>不低于</w:t>
                  </w:r>
                  <w:r>
                    <w:rPr>
                      <w:rFonts w:hint="eastAsia" w:ascii="仿宋" w:hAnsi="仿宋" w:eastAsia="仿宋" w:cs="仿宋"/>
                      <w:color w:val="000000" w:themeColor="text1"/>
                      <w:sz w:val="21"/>
                      <w:szCs w:val="21"/>
                      <w14:textFill>
                        <w14:solidFill>
                          <w14:schemeClr w14:val="tx1"/>
                        </w14:solidFill>
                      </w14:textFill>
                    </w:rPr>
                    <w:t>60%的油烟净化器，食堂油烟通过油烟净化设备处理后经烟道排出。</w:t>
                  </w:r>
                </w:p>
              </w:tc>
              <w:tc>
                <w:tcPr>
                  <w:tcW w:w="1735"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58"/>
                    <w:bidi w:val="0"/>
                    <w:spacing w:line="240" w:lineRule="auto"/>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满足《饮食业油烟排放标准（试行）》（GB18483-2001）中的小型规模标准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
                      <w14:textFill>
                        <w14:solidFill>
                          <w14:schemeClr w14:val="tx1"/>
                        </w14:solidFill>
                      </w14:textFill>
                    </w:rPr>
                    <w:t>环境管理</w:t>
                  </w:r>
                </w:p>
              </w:tc>
              <w:tc>
                <w:tcPr>
                  <w:tcW w:w="2815" w:type="pct"/>
                  <w:tcBorders>
                    <w:top w:val="single" w:color="auto" w:sz="4" w:space="0"/>
                    <w:left w:val="single" w:color="auto" w:sz="4" w:space="0"/>
                    <w:bottom w:val="single" w:color="auto" w:sz="4" w:space="0"/>
                    <w:right w:val="single" w:color="auto" w:sz="4" w:space="0"/>
                  </w:tcBorders>
                  <w:noWrap w:val="0"/>
                  <w:vAlign w:val="center"/>
                </w:tcPr>
                <w:p>
                  <w:pPr>
                    <w:pStyle w:val="58"/>
                    <w:bidi w:val="0"/>
                    <w:spacing w:line="240" w:lineRule="auto"/>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环境管理制度</w:t>
                  </w:r>
                </w:p>
              </w:tc>
              <w:tc>
                <w:tcPr>
                  <w:tcW w:w="17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eastAsia" w:ascii="仿宋" w:hAnsi="仿宋" w:eastAsia="仿宋" w:cs="仿宋"/>
                      <w:color w:val="000000" w:themeColor="text1"/>
                      <w:spacing w:val="-11"/>
                      <w:kern w:val="0"/>
                      <w:sz w:val="21"/>
                      <w:szCs w:val="21"/>
                      <w:highlight w:val="none"/>
                      <w:lang w:val="en-US" w:eastAsia="zh-CN" w:bidi="ar"/>
                      <w14:textFill>
                        <w14:solidFill>
                          <w14:schemeClr w14:val="tx1"/>
                        </w14:solidFill>
                      </w14:textFill>
                    </w:rPr>
                  </w:pPr>
                  <w:r>
                    <w:rPr>
                      <w:rFonts w:hint="eastAsia" w:ascii="仿宋" w:hAnsi="仿宋" w:eastAsia="仿宋" w:cs="仿宋"/>
                      <w:color w:val="000000" w:themeColor="text1"/>
                      <w:spacing w:val="-11"/>
                      <w:kern w:val="0"/>
                      <w:sz w:val="21"/>
                      <w:szCs w:val="21"/>
                      <w:highlight w:val="none"/>
                      <w:lang w:val="en-US" w:eastAsia="zh-CN" w:bidi="ar"/>
                      <w14:textFill>
                        <w14:solidFill>
                          <w14:schemeClr w14:val="tx1"/>
                        </w14:solidFill>
                      </w14:textFill>
                    </w:rPr>
                    <w:t>环保机构健全，环保资料和档案齐全，建立健全风险应急预案</w:t>
                  </w:r>
                </w:p>
              </w:tc>
            </w:tr>
          </w:tbl>
          <w:p>
            <w:pPr>
              <w:spacing w:line="360" w:lineRule="auto"/>
              <w:ind w:firstLine="482"/>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3、环境监测计划</w:t>
            </w:r>
          </w:p>
          <w:p>
            <w:pPr>
              <w:tabs>
                <w:tab w:val="left" w:pos="3615"/>
              </w:tabs>
              <w:spacing w:line="360" w:lineRule="auto"/>
              <w:ind w:firstLine="480" w:firstLineChars="20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项目位于弥渡县密祉镇莲峰村东侧老鸦山，项目区海拔高程1800～2350m。根据现场踏勘，项目区域距离村庄等敏感点较远，且因地形山势阻隔，项目对外环境的生态环境影响较小</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项目施工及运营期间如遇周边居民投诉，应相对应的开展废气、噪声环境监测，环境监测计划详见下表。</w:t>
            </w:r>
          </w:p>
          <w:p>
            <w:pPr>
              <w:tabs>
                <w:tab w:val="left" w:pos="3615"/>
              </w:tabs>
              <w:spacing w:line="360" w:lineRule="auto"/>
              <w:ind w:firstLine="422" w:firstLineChars="200"/>
              <w:jc w:val="center"/>
              <w:rPr>
                <w:rFonts w:hint="eastAsia" w:ascii="仿宋" w:hAnsi="仿宋" w:eastAsia="仿宋" w:cs="仿宋"/>
                <w:b w:val="0"/>
                <w:bCs w:val="0"/>
                <w:color w:val="000000" w:themeColor="text1"/>
                <w:sz w:val="24"/>
                <w:szCs w:val="24"/>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表 5-</w:t>
            </w:r>
            <w:r>
              <w:rPr>
                <w:rFonts w:hint="eastAsia" w:ascii="仿宋" w:hAnsi="仿宋" w:eastAsia="仿宋" w:cs="仿宋"/>
                <w:b/>
                <w:bCs/>
                <w:color w:val="000000" w:themeColor="text1"/>
                <w:sz w:val="21"/>
                <w:szCs w:val="21"/>
                <w:lang w:val="en-US" w:eastAsia="zh-CN"/>
                <w14:textFill>
                  <w14:solidFill>
                    <w14:schemeClr w14:val="tx1"/>
                  </w14:solidFill>
                </w14:textFill>
              </w:rPr>
              <w:t>3</w:t>
            </w:r>
            <w:r>
              <w:rPr>
                <w:rFonts w:hint="eastAsia" w:ascii="仿宋" w:hAnsi="仿宋" w:eastAsia="仿宋" w:cs="仿宋"/>
                <w:b/>
                <w:bCs/>
                <w:color w:val="000000" w:themeColor="text1"/>
                <w:sz w:val="21"/>
                <w:szCs w:val="21"/>
                <w14:textFill>
                  <w14:solidFill>
                    <w14:schemeClr w14:val="tx1"/>
                  </w14:solidFill>
                </w14:textFill>
              </w:rPr>
              <w:t xml:space="preserve"> 环境监测计划一览表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397"/>
              <w:gridCol w:w="1021"/>
              <w:gridCol w:w="1896"/>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监测对象</w:t>
                  </w:r>
                </w:p>
              </w:tc>
              <w:tc>
                <w:tcPr>
                  <w:tcW w:w="1602"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监测点位</w:t>
                  </w:r>
                </w:p>
              </w:tc>
              <w:tc>
                <w:tcPr>
                  <w:tcW w:w="1102"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监测指标</w:t>
                  </w:r>
                </w:p>
              </w:tc>
              <w:tc>
                <w:tcPr>
                  <w:tcW w:w="1896"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标准</w:t>
                  </w:r>
                </w:p>
              </w:tc>
              <w:tc>
                <w:tcPr>
                  <w:tcW w:w="1588" w:type="dxa"/>
                  <w:noWrap w:val="0"/>
                  <w:vAlign w:val="center"/>
                </w:tcPr>
                <w:p>
                  <w:pPr>
                    <w:tabs>
                      <w:tab w:val="left" w:pos="3615"/>
                    </w:tabs>
                    <w:spacing w:line="240" w:lineRule="auto"/>
                    <w:jc w:val="center"/>
                    <w:rPr>
                      <w:rFonts w:hint="default" w:ascii="仿宋" w:hAnsi="仿宋" w:eastAsia="仿宋" w:cs="仿宋"/>
                      <w:b/>
                      <w:bCs/>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bCs/>
                      <w:color w:val="000000" w:themeColor="text1"/>
                      <w:sz w:val="21"/>
                      <w:szCs w:val="21"/>
                      <w:vertAlign w:val="baseline"/>
                      <w:lang w:val="en-US" w:eastAsia="zh-CN"/>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noWrap w:val="0"/>
                  <w:vAlign w:val="center"/>
                </w:tcPr>
                <w:p>
                  <w:pPr>
                    <w:tabs>
                      <w:tab w:val="left" w:pos="3615"/>
                    </w:tabs>
                    <w:spacing w:line="240" w:lineRule="auto"/>
                    <w:jc w:val="center"/>
                    <w:rPr>
                      <w:rFonts w:hint="default"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废气（无组织）-施工期</w:t>
                  </w:r>
                </w:p>
              </w:tc>
              <w:tc>
                <w:tcPr>
                  <w:tcW w:w="1602" w:type="dxa"/>
                  <w:vMerge w:val="restart"/>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以投诉目标所举报区域布置</w:t>
                  </w:r>
                </w:p>
              </w:tc>
              <w:tc>
                <w:tcPr>
                  <w:tcW w:w="1102" w:type="dxa"/>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颗粒物</w:t>
                  </w:r>
                </w:p>
              </w:tc>
              <w:tc>
                <w:tcPr>
                  <w:tcW w:w="1896"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《大气污染物综合排放标准》（GB16297-1996）表2中颗粒物无组织排放浓度限值</w:t>
                  </w:r>
                </w:p>
              </w:tc>
              <w:tc>
                <w:tcPr>
                  <w:tcW w:w="1588" w:type="dxa"/>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连续监测2天，每天3次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3" w:type="dxa"/>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噪声</w:t>
                  </w:r>
                </w:p>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t>（施工期、运营期）</w:t>
                  </w:r>
                </w:p>
              </w:tc>
              <w:tc>
                <w:tcPr>
                  <w:tcW w:w="1602" w:type="dxa"/>
                  <w:vMerge w:val="continue"/>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p>
              </w:tc>
              <w:tc>
                <w:tcPr>
                  <w:tcW w:w="1102" w:type="dxa"/>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等效A声级LA</w:t>
                  </w:r>
                  <w:r>
                    <w:rPr>
                      <w:rFonts w:hint="eastAsia" w:ascii="仿宋" w:hAnsi="仿宋" w:eastAsia="仿宋" w:cs="仿宋"/>
                      <w:color w:val="000000" w:themeColor="text1"/>
                      <w:sz w:val="21"/>
                      <w:szCs w:val="21"/>
                      <w:lang w:val="en-US" w:eastAsia="zh-CN"/>
                      <w14:textFill>
                        <w14:solidFill>
                          <w14:schemeClr w14:val="tx1"/>
                        </w14:solidFill>
                      </w14:textFill>
                    </w:rPr>
                    <w:t>eq</w:t>
                  </w:r>
                </w:p>
              </w:tc>
              <w:tc>
                <w:tcPr>
                  <w:tcW w:w="1896" w:type="dxa"/>
                  <w:noWrap w:val="0"/>
                  <w:vAlign w:val="center"/>
                </w:tcPr>
                <w:p>
                  <w:pPr>
                    <w:tabs>
                      <w:tab w:val="left" w:pos="3615"/>
                    </w:tabs>
                    <w:spacing w:line="240" w:lineRule="auto"/>
                    <w:jc w:val="both"/>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《工业企业厂界环境噪声排放标准》（GB12348-2008）1类标准</w:t>
                  </w:r>
                </w:p>
              </w:tc>
              <w:tc>
                <w:tcPr>
                  <w:tcW w:w="1588" w:type="dxa"/>
                  <w:noWrap w:val="0"/>
                  <w:vAlign w:val="center"/>
                </w:tcPr>
                <w:p>
                  <w:pPr>
                    <w:tabs>
                      <w:tab w:val="left" w:pos="3615"/>
                    </w:tabs>
                    <w:spacing w:line="240" w:lineRule="auto"/>
                    <w:jc w:val="center"/>
                    <w:rPr>
                      <w:rFonts w:hint="eastAsia" w:ascii="仿宋" w:hAnsi="仿宋" w:eastAsia="仿宋" w:cs="仿宋"/>
                      <w:b w:val="0"/>
                      <w:bCs w:val="0"/>
                      <w:color w:val="000000" w:themeColor="text1"/>
                      <w:sz w:val="21"/>
                      <w:szCs w:val="21"/>
                      <w:vertAlign w:val="baseline"/>
                      <w:lang w:val="en-US"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连续监测2天，每天3次</w:t>
                  </w:r>
                </w:p>
              </w:tc>
            </w:tr>
          </w:tbl>
          <w:p>
            <w:pPr>
              <w:spacing w:line="360" w:lineRule="auto"/>
              <w:rPr>
                <w:rFonts w:hint="eastAsia" w:ascii="仿宋" w:hAnsi="仿宋" w:eastAsia="仿宋" w:cs="仿宋"/>
                <w:b w:val="0"/>
                <w:bCs w:val="0"/>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408" w:type="pct"/>
            <w:noWrap w:val="0"/>
            <w:vAlign w:val="center"/>
          </w:tcPr>
          <w:p>
            <w:pPr>
              <w:adjustRightInd w:val="0"/>
              <w:snapToGrid w:val="0"/>
              <w:jc w:val="center"/>
              <w:rPr>
                <w:rFonts w:hint="eastAsia" w:ascii="仿宋" w:hAnsi="仿宋" w:eastAsia="仿宋" w:cs="仿宋"/>
                <w:bCs/>
                <w:color w:val="000000" w:themeColor="text1"/>
                <w:spacing w:val="10"/>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环保投资</w:t>
            </w:r>
          </w:p>
        </w:tc>
        <w:tc>
          <w:tcPr>
            <w:tcW w:w="4591" w:type="pct"/>
            <w:noWrap w:val="0"/>
            <w:vAlign w:val="top"/>
          </w:tcPr>
          <w:p>
            <w:pPr>
              <w:ind w:firstLine="48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根据可研报告相关内容本项目</w:t>
            </w:r>
            <w:r>
              <w:rPr>
                <w:rFonts w:hint="eastAsia" w:ascii="仿宋" w:hAnsi="仿宋" w:eastAsia="仿宋" w:cs="仿宋"/>
                <w:color w:val="000000" w:themeColor="text1"/>
                <w:sz w:val="21"/>
                <w:szCs w:val="21"/>
                <w14:textFill>
                  <w14:solidFill>
                    <w14:schemeClr w14:val="tx1"/>
                  </w14:solidFill>
                </w14:textFill>
              </w:rPr>
              <w:t>工程总投资</w:t>
            </w:r>
            <w:r>
              <w:rPr>
                <w:rFonts w:hint="eastAsia" w:ascii="仿宋" w:hAnsi="仿宋" w:eastAsia="仿宋" w:cs="仿宋"/>
                <w:color w:val="000000" w:themeColor="text1"/>
                <w:sz w:val="21"/>
                <w:szCs w:val="21"/>
                <w:lang w:eastAsia="zh-CN"/>
                <w14:textFill>
                  <w14:solidFill>
                    <w14:schemeClr w14:val="tx1"/>
                  </w14:solidFill>
                </w14:textFill>
              </w:rPr>
              <w:t>约</w:t>
            </w:r>
            <w:r>
              <w:rPr>
                <w:rFonts w:hint="eastAsia" w:ascii="仿宋" w:hAnsi="仿宋" w:eastAsia="仿宋" w:cs="仿宋"/>
                <w:color w:val="000000" w:themeColor="text1"/>
                <w14:textFill>
                  <w14:solidFill>
                    <w14:schemeClr w14:val="tx1"/>
                  </w14:solidFill>
                </w14:textFill>
              </w:rPr>
              <w:t>13336.48</w:t>
            </w:r>
            <w:r>
              <w:rPr>
                <w:rFonts w:hint="eastAsia" w:ascii="仿宋" w:hAnsi="仿宋" w:eastAsia="仿宋" w:cs="仿宋"/>
                <w:color w:val="000000" w:themeColor="text1"/>
                <w:sz w:val="21"/>
                <w:szCs w:val="21"/>
                <w14:textFill>
                  <w14:solidFill>
                    <w14:schemeClr w14:val="tx1"/>
                  </w14:solidFill>
                </w14:textFill>
              </w:rPr>
              <w:t>万元，其中环保投资</w:t>
            </w:r>
            <w:r>
              <w:rPr>
                <w:rFonts w:hint="eastAsia" w:ascii="仿宋" w:hAnsi="仿宋" w:eastAsia="仿宋" w:cs="仿宋"/>
                <w:color w:val="000000" w:themeColor="text1"/>
                <w:sz w:val="21"/>
                <w:szCs w:val="21"/>
                <w:lang w:val="en-US" w:eastAsia="zh-CN"/>
                <w14:textFill>
                  <w14:solidFill>
                    <w14:schemeClr w14:val="tx1"/>
                  </w14:solidFill>
                </w14:textFill>
              </w:rPr>
              <w:t>148.3</w:t>
            </w:r>
            <w:r>
              <w:rPr>
                <w:rFonts w:hint="eastAsia" w:ascii="仿宋" w:hAnsi="仿宋" w:eastAsia="仿宋" w:cs="仿宋"/>
                <w:color w:val="000000" w:themeColor="text1"/>
                <w:sz w:val="21"/>
                <w:szCs w:val="21"/>
                <w14:textFill>
                  <w14:solidFill>
                    <w14:schemeClr w14:val="tx1"/>
                  </w14:solidFill>
                </w14:textFill>
              </w:rPr>
              <w:t>万元，占总投资的</w:t>
            </w:r>
            <w:r>
              <w:rPr>
                <w:rFonts w:hint="eastAsia" w:ascii="仿宋" w:hAnsi="仿宋" w:eastAsia="仿宋" w:cs="仿宋"/>
                <w:color w:val="000000" w:themeColor="text1"/>
                <w:sz w:val="21"/>
                <w:szCs w:val="21"/>
                <w:lang w:val="en-US" w:eastAsia="zh-CN"/>
                <w14:textFill>
                  <w14:solidFill>
                    <w14:schemeClr w14:val="tx1"/>
                  </w14:solidFill>
                </w14:textFill>
              </w:rPr>
              <w:t>1.11</w:t>
            </w:r>
            <w:r>
              <w:rPr>
                <w:rFonts w:hint="eastAsia" w:ascii="仿宋" w:hAnsi="仿宋" w:eastAsia="仿宋" w:cs="仿宋"/>
                <w:color w:val="000000" w:themeColor="text1"/>
                <w:sz w:val="21"/>
                <w:szCs w:val="21"/>
                <w14:textFill>
                  <w14:solidFill>
                    <w14:schemeClr w14:val="tx1"/>
                  </w14:solidFill>
                </w14:textFill>
              </w:rPr>
              <w:t>%。环保投资估算一览表见表5-4。</w:t>
            </w:r>
          </w:p>
          <w:p>
            <w:pPr>
              <w:pStyle w:val="57"/>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表5-4  环保投资估算一览表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152"/>
              <w:gridCol w:w="2373"/>
              <w:gridCol w:w="610"/>
              <w:gridCol w:w="1267"/>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时段</w:t>
                  </w:r>
                </w:p>
              </w:tc>
              <w:tc>
                <w:tcPr>
                  <w:tcW w:w="765"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类别</w:t>
                  </w:r>
                </w:p>
              </w:tc>
              <w:tc>
                <w:tcPr>
                  <w:tcW w:w="1575"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项目</w:t>
                  </w:r>
                </w:p>
              </w:tc>
              <w:tc>
                <w:tcPr>
                  <w:tcW w:w="405"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数量</w:t>
                  </w:r>
                </w:p>
              </w:tc>
              <w:tc>
                <w:tcPr>
                  <w:tcW w:w="841"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金额（万元）</w:t>
                  </w:r>
                </w:p>
              </w:tc>
              <w:tc>
                <w:tcPr>
                  <w:tcW w:w="935" w:type="pct"/>
                  <w:noWrap w:val="0"/>
                  <w:vAlign w:val="center"/>
                </w:tcPr>
                <w:p>
                  <w:pPr>
                    <w:pStyle w:val="58"/>
                    <w:bidi w:val="0"/>
                    <w:rPr>
                      <w:rFonts w:hint="eastAsia" w:ascii="仿宋" w:hAnsi="仿宋" w:eastAsia="仿宋" w:cs="仿宋"/>
                      <w:b/>
                      <w:bCs w:val="0"/>
                      <w:color w:val="000000" w:themeColor="text1"/>
                      <w:sz w:val="21"/>
                      <w:szCs w:val="21"/>
                      <w14:textFill>
                        <w14:solidFill>
                          <w14:schemeClr w14:val="tx1"/>
                        </w14:solidFill>
                      </w14:textFill>
                    </w:rPr>
                  </w:pPr>
                  <w:r>
                    <w:rPr>
                      <w:rFonts w:hint="eastAsia" w:ascii="仿宋" w:hAnsi="仿宋" w:eastAsia="仿宋" w:cs="仿宋"/>
                      <w:b/>
                      <w:bCs w:val="0"/>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施工期</w:t>
                  </w: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生态环境</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永久基本农田、生态保护红线彩条布、围挡，警示牌等</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p>
              </w:tc>
              <w:tc>
                <w:tcPr>
                  <w:tcW w:w="935"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生态保护宣传教育</w:t>
                  </w:r>
                </w:p>
              </w:tc>
              <w:tc>
                <w:tcPr>
                  <w:tcW w:w="405"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935"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植被恢复</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计入水保投资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废水</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风机</w:t>
                  </w:r>
                  <w:r>
                    <w:rPr>
                      <w:rFonts w:hint="eastAsia" w:ascii="仿宋" w:hAnsi="仿宋" w:eastAsia="仿宋" w:cs="仿宋"/>
                      <w:color w:val="000000" w:themeColor="text1"/>
                      <w:sz w:val="21"/>
                      <w:szCs w:val="21"/>
                      <w14:textFill>
                        <w14:solidFill>
                          <w14:schemeClr w14:val="tx1"/>
                        </w14:solidFill>
                      </w14:textFill>
                    </w:rPr>
                    <w:t>场区、</w:t>
                  </w: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等工程周边设置排水沟，末端设置沉砂池等</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计入水保投资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防渗隔油池</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防渗旱厕</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堆土场</w:t>
                  </w:r>
                  <w:r>
                    <w:rPr>
                      <w:rFonts w:hint="eastAsia" w:ascii="仿宋" w:hAnsi="仿宋" w:eastAsia="仿宋" w:cs="仿宋"/>
                      <w:color w:val="000000" w:themeColor="text1"/>
                      <w:sz w:val="21"/>
                      <w:szCs w:val="21"/>
                      <w14:textFill>
                        <w14:solidFill>
                          <w14:schemeClr w14:val="tx1"/>
                        </w14:solidFill>
                      </w14:textFill>
                    </w:rPr>
                    <w:t>的拦挡措施</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计入水保投资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废气</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采用洒水车、皮管等进行洒水降尘</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10</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堆土场</w:t>
                  </w:r>
                  <w:r>
                    <w:rPr>
                      <w:rFonts w:hint="eastAsia" w:ascii="仿宋" w:hAnsi="仿宋" w:eastAsia="仿宋" w:cs="仿宋"/>
                      <w:color w:val="000000" w:themeColor="text1"/>
                      <w:sz w:val="21"/>
                      <w:szCs w:val="21"/>
                      <w14:textFill>
                        <w14:solidFill>
                          <w14:schemeClr w14:val="tx1"/>
                        </w14:solidFill>
                      </w14:textFill>
                    </w:rPr>
                    <w:t>、物料、裸露地面等的临时遮盖措施</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12</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施工工地临时围挡</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噪声</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运输道路减速禁呜标志牌</w:t>
                  </w:r>
                </w:p>
              </w:tc>
              <w:tc>
                <w:tcPr>
                  <w:tcW w:w="405"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若干</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施工临时围挡</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固体废物</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生活垃圾桶及垃圾清运</w:t>
                  </w:r>
                </w:p>
              </w:tc>
              <w:tc>
                <w:tcPr>
                  <w:tcW w:w="405"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若干</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建筑垃圾清运</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6</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施工临时占地采取的隔离保护措施</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运营期</w:t>
                  </w: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生态保护</w:t>
                  </w:r>
                </w:p>
              </w:tc>
              <w:tc>
                <w:tcPr>
                  <w:tcW w:w="1575"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绿化种植</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宣传教育</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废气</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油烟净化器</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1台</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废水</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的隔油池</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的化粪池</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/d</w:t>
                  </w:r>
                  <w:r>
                    <w:rPr>
                      <w:rFonts w:hint="eastAsia" w:ascii="仿宋" w:hAnsi="仿宋" w:eastAsia="仿宋" w:cs="仿宋"/>
                      <w:bCs/>
                      <w:color w:val="000000" w:themeColor="text1"/>
                      <w:spacing w:val="-11"/>
                      <w:sz w:val="21"/>
                      <w:szCs w:val="21"/>
                      <w14:textFill>
                        <w14:solidFill>
                          <w14:schemeClr w14:val="tx1"/>
                        </w14:solidFill>
                      </w14:textFill>
                    </w:rPr>
                    <w:t>的一体化污水处理设备</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1座</w:t>
                  </w:r>
                </w:p>
              </w:tc>
              <w:tc>
                <w:tcPr>
                  <w:tcW w:w="841"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10</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2.5m</w:t>
                  </w:r>
                  <w:r>
                    <w:rPr>
                      <w:rFonts w:hint="eastAsia" w:ascii="仿宋" w:hAnsi="仿宋" w:eastAsia="仿宋" w:cs="仿宋"/>
                      <w:color w:val="000000" w:themeColor="text1"/>
                      <w:sz w:val="21"/>
                      <w:szCs w:val="21"/>
                      <w:vertAlign w:val="superscript"/>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的回用水池</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噪声</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开关站</w:t>
                  </w:r>
                  <w:r>
                    <w:rPr>
                      <w:rFonts w:hint="eastAsia" w:ascii="仿宋" w:hAnsi="仿宋" w:eastAsia="仿宋" w:cs="仿宋"/>
                      <w:color w:val="000000" w:themeColor="text1"/>
                      <w:sz w:val="21"/>
                      <w:szCs w:val="21"/>
                      <w14:textFill>
                        <w14:solidFill>
                          <w14:schemeClr w14:val="tx1"/>
                        </w14:solidFill>
                      </w14:textFill>
                    </w:rPr>
                    <w:t>厂界围墙</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计入主体投资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减振措施</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restar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固体废物</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生活垃圾桶</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2个</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的一般固废暂存间</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1间</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10m</w:t>
                  </w:r>
                  <w:r>
                    <w:rPr>
                      <w:rFonts w:hint="eastAsia" w:ascii="仿宋" w:hAnsi="仿宋" w:eastAsia="仿宋" w:cs="仿宋"/>
                      <w:color w:val="000000" w:themeColor="text1"/>
                      <w:sz w:val="21"/>
                      <w:szCs w:val="21"/>
                      <w:vertAlign w:val="superscript"/>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的</w:t>
                  </w:r>
                  <w:r>
                    <w:rPr>
                      <w:rFonts w:hint="eastAsia" w:ascii="仿宋" w:hAnsi="仿宋" w:eastAsia="仿宋" w:cs="仿宋"/>
                      <w:color w:val="000000" w:themeColor="text1"/>
                      <w:sz w:val="21"/>
                      <w:szCs w:val="21"/>
                      <w:lang w:eastAsia="zh-CN"/>
                      <w14:textFill>
                        <w14:solidFill>
                          <w14:schemeClr w14:val="tx1"/>
                        </w14:solidFill>
                      </w14:textFill>
                    </w:rPr>
                    <w:t>危险废物暂存间</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1间</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主变集油池</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主变事故油池</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10</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箱变集油池</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4座</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4.8</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化粪池</w:t>
                  </w:r>
                  <w:r>
                    <w:rPr>
                      <w:rFonts w:hint="eastAsia" w:ascii="仿宋" w:hAnsi="仿宋" w:eastAsia="仿宋" w:cs="仿宋"/>
                      <w:color w:val="000000" w:themeColor="text1"/>
                      <w:sz w:val="21"/>
                      <w:szCs w:val="21"/>
                      <w:lang w:val="en-US" w:eastAsia="zh-CN"/>
                      <w14:textFill>
                        <w14:solidFill>
                          <w14:schemeClr w14:val="tx1"/>
                        </w14:solidFill>
                      </w14:textFill>
                    </w:rPr>
                    <w:t>和污水处理站</w:t>
                  </w:r>
                  <w:r>
                    <w:rPr>
                      <w:rFonts w:hint="eastAsia" w:ascii="仿宋" w:hAnsi="仿宋" w:eastAsia="仿宋" w:cs="仿宋"/>
                      <w:color w:val="000000" w:themeColor="text1"/>
                      <w:sz w:val="21"/>
                      <w:szCs w:val="21"/>
                      <w14:textFill>
                        <w14:solidFill>
                          <w14:schemeClr w14:val="tx1"/>
                        </w14:solidFill>
                      </w14:textFill>
                    </w:rPr>
                    <w:t>污泥、隔油池废油脂清掏</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1年</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0.5</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危险废物委托</w:t>
                  </w:r>
                  <w:r>
                    <w:rPr>
                      <w:rFonts w:hint="eastAsia" w:ascii="仿宋" w:hAnsi="仿宋" w:eastAsia="仿宋" w:cs="仿宋"/>
                      <w:color w:val="000000" w:themeColor="text1"/>
                      <w:sz w:val="21"/>
                      <w:szCs w:val="21"/>
                      <w14:textFill>
                        <w14:solidFill>
                          <w14:schemeClr w14:val="tx1"/>
                        </w14:solidFill>
                      </w14:textFill>
                    </w:rPr>
                    <w:t>清运处置</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1年</w:t>
                  </w:r>
                </w:p>
              </w:tc>
              <w:tc>
                <w:tcPr>
                  <w:tcW w:w="841"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Merge w:val="continue"/>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p>
              </w:tc>
              <w:tc>
                <w:tcPr>
                  <w:tcW w:w="76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其他</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环评、施工环境监理、竣工环境保护验收、应急预案、环境监测</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40</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pct"/>
                  <w:gridSpan w:val="2"/>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合计</w:t>
                  </w:r>
                </w:p>
              </w:tc>
              <w:tc>
                <w:tcPr>
                  <w:tcW w:w="157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40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c>
                <w:tcPr>
                  <w:tcW w:w="841" w:type="pct"/>
                  <w:noWrap w:val="0"/>
                  <w:vAlign w:val="center"/>
                </w:tcPr>
                <w:p>
                  <w:pPr>
                    <w:pStyle w:val="58"/>
                    <w:bidi w:val="0"/>
                    <w:rPr>
                      <w:rFonts w:hint="default"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148.3</w:t>
                  </w:r>
                </w:p>
              </w:tc>
              <w:tc>
                <w:tcPr>
                  <w:tcW w:w="935" w:type="pct"/>
                  <w:noWrap w:val="0"/>
                  <w:vAlign w:val="center"/>
                </w:tcPr>
                <w:p>
                  <w:pPr>
                    <w:pStyle w:val="58"/>
                    <w:bidi w:val="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w:t>
                  </w:r>
                </w:p>
              </w:tc>
            </w:tr>
          </w:tbl>
          <w:p>
            <w:pPr>
              <w:jc w:val="both"/>
              <w:rPr>
                <w:rFonts w:hint="eastAsia" w:ascii="仿宋" w:hAnsi="仿宋" w:eastAsia="仿宋" w:cs="仿宋"/>
                <w:b w:val="0"/>
                <w:bCs w:val="0"/>
                <w:color w:val="000000" w:themeColor="text1"/>
                <w:sz w:val="21"/>
                <w:szCs w:val="21"/>
                <w:lang w:val="en-US" w:eastAsia="zh-CN"/>
                <w14:textFill>
                  <w14:solidFill>
                    <w14:schemeClr w14:val="tx1"/>
                  </w14:solidFill>
                </w14:textFill>
              </w:rPr>
            </w:pPr>
          </w:p>
        </w:tc>
      </w:tr>
    </w:tbl>
    <w:p>
      <w:pPr>
        <w:rPr>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pPr>
        <w:jc w:val="center"/>
        <w:outlineLvl w:val="0"/>
        <w:rPr>
          <w:rFonts w:ascii="黑体" w:hAnsi="黑体" w:eastAsia="黑体"/>
          <w:snapToGrid w:val="0"/>
          <w:color w:val="000000" w:themeColor="text1"/>
          <w:sz w:val="30"/>
          <w:szCs w:val="30"/>
          <w14:textFill>
            <w14:solidFill>
              <w14:schemeClr w14:val="tx1"/>
            </w14:solidFill>
          </w14:textFill>
        </w:rPr>
      </w:pPr>
      <w:bookmarkStart w:id="32" w:name="_Toc6866"/>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bookmarkEnd w:id="32"/>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4131"/>
        <w:gridCol w:w="2308"/>
        <w:gridCol w:w="4046"/>
        <w:gridCol w:w="2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vMerge w:val="restart"/>
            <w:tcBorders>
              <w:tl2br w:val="single" w:color="auto" w:sz="4" w:space="0"/>
            </w:tcBorders>
            <w:noWrap w:val="0"/>
            <w:vAlign w:val="top"/>
          </w:tcPr>
          <w:p>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 xml:space="preserve"> </w:t>
            </w:r>
            <w:bookmarkStart w:id="33" w:name="_Toc25941"/>
            <w:r>
              <w:rPr>
                <w:rFonts w:hint="eastAsia" w:ascii="仿宋" w:hAnsi="仿宋" w:eastAsia="仿宋" w:cs="仿宋"/>
                <w:b/>
                <w:bCs/>
                <w:color w:val="000000" w:themeColor="text1"/>
                <w:sz w:val="21"/>
                <w:szCs w:val="21"/>
                <w14:textFill>
                  <w14:solidFill>
                    <w14:schemeClr w14:val="tx1"/>
                  </w14:solidFill>
                </w14:textFill>
              </w:rPr>
              <w:t>内容</w:t>
            </w:r>
            <w:bookmarkEnd w:id="33"/>
          </w:p>
          <w:p>
            <w:pPr>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ascii="仿宋" w:hAnsi="仿宋" w:eastAsia="仿宋" w:cs="仿宋"/>
                <w:b/>
                <w:bCs/>
                <w:color w:val="000000" w:themeColor="text1"/>
                <w:kern w:val="2"/>
                <w:sz w:val="21"/>
                <w:szCs w:val="21"/>
                <w14:textFill>
                  <w14:solidFill>
                    <w14:schemeClr w14:val="tx1"/>
                  </w14:solidFill>
                </w14:textFill>
              </w:rPr>
            </w:pPr>
            <w:r>
              <w:rPr>
                <w:rFonts w:hint="eastAsia" w:ascii="仿宋" w:hAnsi="仿宋" w:eastAsia="仿宋" w:cs="仿宋"/>
                <w:b/>
                <w:bCs/>
                <w:color w:val="000000" w:themeColor="text1"/>
                <w:kern w:val="2"/>
                <w:sz w:val="21"/>
                <w:szCs w:val="21"/>
                <w14:textFill>
                  <w14:solidFill>
                    <w14:schemeClr w14:val="tx1"/>
                  </w14:solidFill>
                </w14:textFill>
              </w:rPr>
              <w:t xml:space="preserve"> </w:t>
            </w:r>
            <w:bookmarkStart w:id="34" w:name="_Toc16062"/>
          </w:p>
          <w:p>
            <w:pPr>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要素</w:t>
            </w:r>
            <w:bookmarkEnd w:id="34"/>
          </w:p>
        </w:tc>
        <w:tc>
          <w:tcPr>
            <w:tcW w:w="2271"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sz w:val="21"/>
                <w:szCs w:val="21"/>
                <w14:textFill>
                  <w14:solidFill>
                    <w14:schemeClr w14:val="tx1"/>
                  </w14:solidFill>
                </w14:textFill>
              </w:rPr>
            </w:pPr>
            <w:bookmarkStart w:id="35" w:name="_Toc17669"/>
            <w:r>
              <w:rPr>
                <w:rFonts w:hint="eastAsia" w:ascii="仿宋" w:hAnsi="仿宋" w:eastAsia="仿宋" w:cs="仿宋"/>
                <w:b/>
                <w:bCs/>
                <w:color w:val="000000" w:themeColor="text1"/>
                <w:sz w:val="21"/>
                <w:szCs w:val="21"/>
                <w14:textFill>
                  <w14:solidFill>
                    <w14:schemeClr w14:val="tx1"/>
                  </w14:solidFill>
                </w14:textFill>
              </w:rPr>
              <w:t>施工期</w:t>
            </w:r>
            <w:bookmarkEnd w:id="35"/>
          </w:p>
        </w:tc>
        <w:tc>
          <w:tcPr>
            <w:tcW w:w="223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sz w:val="21"/>
                <w:szCs w:val="21"/>
                <w14:textFill>
                  <w14:solidFill>
                    <w14:schemeClr w14:val="tx1"/>
                  </w14:solidFill>
                </w14:textFill>
              </w:rPr>
            </w:pPr>
            <w:bookmarkStart w:id="36" w:name="_Toc27419"/>
            <w:r>
              <w:rPr>
                <w:rFonts w:hint="eastAsia" w:ascii="仿宋" w:hAnsi="仿宋" w:eastAsia="仿宋" w:cs="仿宋"/>
                <w:b/>
                <w:bCs/>
                <w:color w:val="000000" w:themeColor="text1"/>
                <w:sz w:val="21"/>
                <w:szCs w:val="21"/>
                <w14:textFill>
                  <w14:solidFill>
                    <w14:schemeClr w14:val="tx1"/>
                  </w14:solidFill>
                </w14:textFill>
              </w:rPr>
              <w:t>运营期</w:t>
            </w:r>
            <w:bookmarkEnd w:id="3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仿宋" w:hAnsi="仿宋" w:eastAsia="仿宋" w:cs="仿宋"/>
                <w:color w:val="000000" w:themeColor="text1"/>
                <w:kern w:val="2"/>
                <w:sz w:val="21"/>
                <w:szCs w:val="21"/>
                <w14:textFill>
                  <w14:solidFill>
                    <w14:schemeClr w14:val="tx1"/>
                  </w14:solidFill>
                </w14:textFill>
              </w:rPr>
            </w:pPr>
          </w:p>
        </w:tc>
        <w:tc>
          <w:tcPr>
            <w:tcW w:w="14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sz w:val="21"/>
                <w:szCs w:val="21"/>
                <w14:textFill>
                  <w14:solidFill>
                    <w14:schemeClr w14:val="tx1"/>
                  </w14:solidFill>
                </w14:textFill>
              </w:rPr>
            </w:pPr>
            <w:bookmarkStart w:id="37" w:name="_Toc15559"/>
            <w:r>
              <w:rPr>
                <w:rFonts w:hint="eastAsia" w:ascii="仿宋" w:hAnsi="仿宋" w:eastAsia="仿宋" w:cs="仿宋"/>
                <w:b/>
                <w:bCs/>
                <w:color w:val="000000" w:themeColor="text1"/>
                <w:sz w:val="21"/>
                <w:szCs w:val="21"/>
                <w14:textFill>
                  <w14:solidFill>
                    <w14:schemeClr w14:val="tx1"/>
                  </w14:solidFill>
                </w14:textFill>
              </w:rPr>
              <w:t>环境保护措施</w:t>
            </w:r>
            <w:bookmarkEnd w:id="37"/>
          </w:p>
        </w:tc>
        <w:tc>
          <w:tcPr>
            <w:tcW w:w="8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sz w:val="21"/>
                <w:szCs w:val="21"/>
                <w14:textFill>
                  <w14:solidFill>
                    <w14:schemeClr w14:val="tx1"/>
                  </w14:solidFill>
                </w14:textFill>
              </w:rPr>
            </w:pPr>
            <w:bookmarkStart w:id="38" w:name="_Toc28653"/>
            <w:r>
              <w:rPr>
                <w:rFonts w:hint="eastAsia" w:ascii="仿宋" w:hAnsi="仿宋" w:eastAsia="仿宋" w:cs="仿宋"/>
                <w:b/>
                <w:bCs/>
                <w:color w:val="000000" w:themeColor="text1"/>
                <w:sz w:val="21"/>
                <w:szCs w:val="21"/>
                <w14:textFill>
                  <w14:solidFill>
                    <w14:schemeClr w14:val="tx1"/>
                  </w14:solidFill>
                </w14:textFill>
              </w:rPr>
              <w:t>验收要求</w:t>
            </w:r>
            <w:bookmarkEnd w:id="38"/>
          </w:p>
        </w:tc>
        <w:tc>
          <w:tcPr>
            <w:tcW w:w="14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sz w:val="21"/>
                <w:szCs w:val="21"/>
                <w14:textFill>
                  <w14:solidFill>
                    <w14:schemeClr w14:val="tx1"/>
                  </w14:solidFill>
                </w14:textFill>
              </w:rPr>
            </w:pPr>
            <w:bookmarkStart w:id="39" w:name="_Toc16938"/>
            <w:r>
              <w:rPr>
                <w:rFonts w:hint="eastAsia" w:ascii="仿宋" w:hAnsi="仿宋" w:eastAsia="仿宋" w:cs="仿宋"/>
                <w:b/>
                <w:bCs/>
                <w:color w:val="000000" w:themeColor="text1"/>
                <w:sz w:val="21"/>
                <w:szCs w:val="21"/>
                <w14:textFill>
                  <w14:solidFill>
                    <w14:schemeClr w14:val="tx1"/>
                  </w14:solidFill>
                </w14:textFill>
              </w:rPr>
              <w:t>环境保护措施</w:t>
            </w:r>
            <w:bookmarkEnd w:id="39"/>
          </w:p>
        </w:tc>
        <w:tc>
          <w:tcPr>
            <w:tcW w:w="80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sz w:val="21"/>
                <w:szCs w:val="21"/>
                <w14:textFill>
                  <w14:solidFill>
                    <w14:schemeClr w14:val="tx1"/>
                  </w14:solidFill>
                </w14:textFill>
              </w:rPr>
            </w:pPr>
            <w:bookmarkStart w:id="40" w:name="_Toc7127"/>
            <w:r>
              <w:rPr>
                <w:rFonts w:hint="eastAsia" w:ascii="仿宋" w:hAnsi="仿宋" w:eastAsia="仿宋" w:cs="仿宋"/>
                <w:b/>
                <w:bCs/>
                <w:color w:val="000000" w:themeColor="text1"/>
                <w:sz w:val="21"/>
                <w:szCs w:val="21"/>
                <w14:textFill>
                  <w14:solidFill>
                    <w14:schemeClr w14:val="tx1"/>
                  </w14:solidFill>
                </w14:textFill>
              </w:rPr>
              <w:t>验收要求</w:t>
            </w:r>
            <w:bookmarkEnd w:id="4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陆生生态</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优化施工布置，严控扰动范围，临时占地优先选植被覆盖率低区域，永久及临时占地避让生态保护红线、公益林、基本农田、天然乔木林；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落实边坡防护、弃渣规范处置，剥离表土分区堆存、拦挡苫盖，用于植被恢复；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办理林地征用手续，足额缴纳森林植被恢复费，落实异地植被恢复；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遇珍稀野生植物立即停工、设防护并上报林草部门；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w:t>
            </w:r>
            <w:r>
              <w:rPr>
                <w:rFonts w:hint="eastAsia" w:ascii="仿宋" w:hAnsi="仿宋" w:eastAsia="仿宋" w:cs="仿宋"/>
                <w:color w:val="000000" w:themeColor="text1"/>
                <w:sz w:val="21"/>
                <w:szCs w:val="21"/>
                <w14:textFill>
                  <w14:solidFill>
                    <w14:schemeClr w14:val="tx1"/>
                  </w14:solidFill>
                </w14:textFill>
              </w:rPr>
              <w:t>落实水土保持措施，设生态保护宣传牌，严控水土流失与植被破坏。</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取得林地征用等相关手续，足额缴纳森林植被恢复费；</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留存施工影像、环境监理报告；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水土保持措施落实到位，弃渣规范处置；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原生植被保护完好，无违规占地、毁林；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w:t>
            </w:r>
            <w:r>
              <w:rPr>
                <w:rFonts w:hint="eastAsia" w:ascii="仿宋" w:hAnsi="仿宋" w:eastAsia="仿宋" w:cs="仿宋"/>
                <w:color w:val="000000" w:themeColor="text1"/>
                <w:sz w:val="21"/>
                <w:szCs w:val="21"/>
                <w14:textFill>
                  <w14:solidFill>
                    <w14:schemeClr w14:val="tx1"/>
                  </w14:solidFill>
                </w14:textFill>
              </w:rPr>
              <w:t>植被恢复按方案推进，水土流失可控。</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风机平台、集电线路、弃渣场等临时占地实施乡土草籽播种及植被恢复，严禁外来物种；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加强植被抚育，及时补种长势不佳区域；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开展生态宣传教育，严控山林火灾，严禁破坏植被、农作物；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定期排查外来入侵物种并无害化清除；</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w:t>
            </w:r>
            <w:r>
              <w:rPr>
                <w:rFonts w:hint="eastAsia" w:ascii="仿宋" w:hAnsi="仿宋" w:eastAsia="仿宋" w:cs="仿宋"/>
                <w:color w:val="000000" w:themeColor="text1"/>
                <w:sz w:val="21"/>
                <w:szCs w:val="21"/>
                <w14:textFill>
                  <w14:solidFill>
                    <w14:schemeClr w14:val="tx1"/>
                  </w14:solidFill>
                </w14:textFill>
              </w:rPr>
              <w:t>与林业部门联动巡护，防范破坏森林、野生动植物行为。</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施工迹地、临时占地全部绿化恢复，原生植被群落稳定；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水土流失得到有效控制，森林植被功能不降低；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无外来入侵物种扩散，生态敏感区保护到位。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水生生态</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地表水环境</w:t>
            </w:r>
          </w:p>
        </w:tc>
        <w:tc>
          <w:tcPr>
            <w:tcW w:w="1457"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避开雨季大规模开挖，暴雨期停止地表扰动施工；</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施工区建排水沟、沉砂池，初期雨水沉淀后回用洒水降尘；</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施工机械废水、生活污水分别处理回用/清掏，不外排；</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严禁向水体排放垃圾、弃土、弃渣及未经处理废弃物。</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施工期各类废水、初期雨水合规处理回用，无废水外排。</w:t>
            </w:r>
          </w:p>
        </w:tc>
        <w:tc>
          <w:tcPr>
            <w:tcW w:w="1427"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开关站设隔油池、化粪池、一体化污水处理设备，食堂废水处理后达GB/T18920-2020绿化标准回用；</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设回用水池，收集雨天尾水及故障期污水，天晴后回用，不外排。</w:t>
            </w:r>
          </w:p>
        </w:tc>
        <w:tc>
          <w:tcPr>
            <w:tcW w:w="807" w:type="pct"/>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运营期无废水外排；</w:t>
            </w:r>
          </w:p>
          <w:p>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一体化设备出水稳定满足《城市污水再生利用城市杂用水水质》（GB/T18920-2020）绿化标准。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地下水及土壤环境</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主变事故油池、集油池、箱变集油池、危险废物暂存间重点防渗：≥1m黏土层（K≤10</w:t>
            </w:r>
            <w:r>
              <w:rPr>
                <w:rFonts w:hint="eastAsia" w:ascii="仿宋" w:hAnsi="仿宋" w:eastAsia="仿宋" w:cs="仿宋"/>
                <w:color w:val="000000" w:themeColor="text1"/>
                <w:sz w:val="21"/>
                <w:szCs w:val="21"/>
                <w:vertAlign w:val="superscript"/>
                <w:lang w:val="en-US" w:eastAsia="zh-CN"/>
                <w14:textFill>
                  <w14:solidFill>
                    <w14:schemeClr w14:val="tx1"/>
                  </w14:solidFill>
                </w14:textFill>
              </w:rPr>
              <w:t>-7</w:t>
            </w:r>
            <w:r>
              <w:rPr>
                <w:rFonts w:hint="eastAsia" w:ascii="仿宋" w:hAnsi="仿宋" w:eastAsia="仿宋" w:cs="仿宋"/>
                <w:color w:val="000000" w:themeColor="text1"/>
                <w:sz w:val="21"/>
                <w:szCs w:val="21"/>
                <w14:textFill>
                  <w14:solidFill>
                    <w14:schemeClr w14:val="tx1"/>
                  </w14:solidFill>
                </w14:textFill>
              </w:rPr>
              <w:t>cm/s），≥2mm人工防渗层（K≤10</w:t>
            </w:r>
            <w:r>
              <w:rPr>
                <w:rFonts w:hint="eastAsia" w:ascii="仿宋" w:hAnsi="仿宋" w:eastAsia="仿宋" w:cs="仿宋"/>
                <w:color w:val="000000" w:themeColor="text1"/>
                <w:sz w:val="21"/>
                <w:szCs w:val="21"/>
                <w:vertAlign w:val="superscript"/>
                <w:lang w:val="en-US" w:eastAsia="zh-CN"/>
                <w14:textFill>
                  <w14:solidFill>
                    <w14:schemeClr w14:val="tx1"/>
                  </w14:solidFill>
                </w14:textFill>
              </w:rPr>
              <w:t>-10</w:t>
            </w:r>
            <w:r>
              <w:rPr>
                <w:rFonts w:hint="eastAsia" w:ascii="仿宋" w:hAnsi="仿宋" w:eastAsia="仿宋" w:cs="仿宋"/>
                <w:color w:val="000000" w:themeColor="text1"/>
                <w:sz w:val="21"/>
                <w:szCs w:val="21"/>
                <w14:textFill>
                  <w14:solidFill>
                    <w14:schemeClr w14:val="tx1"/>
                  </w14:solidFill>
                </w14:textFill>
              </w:rPr>
              <w:t>cm/s）。</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重点防渗施工达标，防渗参数符合设计要求。</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主变事故油池、集油池、箱变集油池、危险废物暂存间持续保持重点防渗状态，防渗层完好、参数达标。</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防渗系统完好无渗漏，防渗参数持续合规。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声环境</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选用低噪声设备、做好维保，设备稳固并设减震措施；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靠近居民点优先人工开挖、设临时围挡，避免高噪设备同时施工；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严禁夜间（22:00-次日6:00）施工，运输车辆途经敏感点限速、禁鸣。</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施工场界噪声满足《建筑施工场界环境噪声排放标准》（GB12523-2011）。</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1、</w:t>
            </w:r>
            <w:r>
              <w:rPr>
                <w:rFonts w:hint="eastAsia" w:ascii="仿宋" w:hAnsi="仿宋" w:eastAsia="仿宋" w:cs="仿宋"/>
                <w:color w:val="000000" w:themeColor="text1"/>
                <w:sz w:val="21"/>
                <w:szCs w:val="21"/>
                <w14:textFill>
                  <w14:solidFill>
                    <w14:schemeClr w14:val="tx1"/>
                  </w14:solidFill>
                </w14:textFill>
              </w:rPr>
              <w:t>选用低噪风机、主变，主变装减振设施，水泵室内夜间不运行，设围墙；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优化风机运行策略，夜间降低敏感点附近风机转速；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定期监测厂界及敏感点噪声，及时整改超标。</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厂界噪声满足《工业企业厂界环境噪声排放标准》（GB12348-2008）1类标准，敏感点噪声达标。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振动</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大气环境</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施工场地、道路洒水降尘，大风干燥天增加频次；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土石方、表土、粉状物料集中堆存、覆盖防尘网；</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运输车辆密闭、限速，途经居民点减速慢行；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施工现场禁止焚烧废弃物，严控扬尘污染。</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施工期无组织粉尘满足《大气污染物综合排放标准》（GB16297-1996）无组织排放限值。</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开关站厨房设油烟净化器（效率≥60%），油烟处理后经专用烟道排放。</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油烟排放满足《饮食业油烟排放标准（试行）》（GB18483-2001）小型标准。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固体废物</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剥离表土分区堆存，用于植被恢复覆土；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建筑垃圾分类处置，可回收外售、不可回收清运至合法场所；</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废包装外售，废弃备件暂存后厂家回收；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生活垃圾集中收集、环卫清运；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废机油、含油废物等危废暂存临时危废间，委托有资质单位处置。</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施工期固废分类处置，处置率 100%，无随意倾倒丢弃。</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生活垃圾分类收集、环卫清运；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设一般固废暂存间，废备件暂存后厂家回收；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化粪池污泥、隔油池废油脂委托合规单位清掏；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设危废暂存间，废变压器油、废矿物油等分类暂存、委托处置，执行转移联单；</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主变、箱变配套事故油池、集油池，收集事故废油。</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运营期一般固废、生活垃圾、危废分类规范处置，处置率100%，危废管理合规。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电磁环境</w:t>
            </w:r>
          </w:p>
        </w:tc>
        <w:tc>
          <w:tcPr>
            <w:tcW w:w="4505"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环境风险</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加强燃油机械维保，暂存区设禁火标识，加油时巡查；</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制定安全管理制度、人员培训制度，开展生态保护宣传；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严禁向水体、林地排放污染物、倾倒弃渣。</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施工期风险防范措施落实到位，影像、监理报告齐全，无突发环境事件。</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主变、箱变配套集油池、事故油池，落实重点防渗；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规范危废暂存间，配备消防沙、灭火器及警示标识；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编制应急预案并备案，定期演练；</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4</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加强设备维保，严控火灾、泄漏风险。</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风险设施完好，预案备案并定期演练，防控措施落实到位，无突发环境事件。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环境监测</w:t>
            </w:r>
          </w:p>
        </w:tc>
        <w:tc>
          <w:tcPr>
            <w:tcW w:w="14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开展施工期无组织废气、施工噪声监测，重点关注敏感点周边环境。</w:t>
            </w:r>
          </w:p>
        </w:tc>
        <w:tc>
          <w:tcPr>
            <w:tcW w:w="8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完成施工期监测，报告齐全，结果达标。</w:t>
            </w:r>
          </w:p>
        </w:tc>
        <w:tc>
          <w:tcPr>
            <w:tcW w:w="142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开展运营期厂界噪声、敏感点噪声监测，定期排查生态、地下水及土壤环境。</w:t>
            </w:r>
          </w:p>
        </w:tc>
        <w:tc>
          <w:tcPr>
            <w:tcW w:w="80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完成竣工环保验收监测，结果达标，台账完整。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其他</w:t>
            </w:r>
          </w:p>
        </w:tc>
        <w:tc>
          <w:tcPr>
            <w:tcW w:w="4505"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1、项目的环保设施必须和主体工程同时设计、同时施工、同时投产。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建设单位是建设项目竣工环境保护验收的责任主体，建设单位应按照国家国环规环评〔2017〕14号文件《建设项目竣工环境保护验收暂行办法》中的有关规定组织自主验收，按《建设项目竣工环境保护验收技术规范生态影响类》编制验收调查报告。</w:t>
            </w:r>
          </w:p>
        </w:tc>
      </w:tr>
    </w:tbl>
    <w:p>
      <w:pPr>
        <w:pStyle w:val="21"/>
        <w:spacing w:before="0" w:beforeAutospacing="0" w:line="14" w:lineRule="auto"/>
        <w:jc w:val="both"/>
        <w:outlineLvl w:val="9"/>
        <w:rPr>
          <w:rFonts w:hint="eastAsia" w:ascii="黑体" w:hAnsi="黑体" w:eastAsia="黑体"/>
          <w:snapToGrid w:val="0"/>
          <w:color w:val="000000" w:themeColor="text1"/>
          <w:sz w:val="30"/>
          <w:szCs w:val="30"/>
          <w14:textFill>
            <w14:solidFill>
              <w14:schemeClr w14:val="tx1"/>
            </w14:solidFill>
          </w14:textFill>
        </w:rPr>
      </w:pPr>
    </w:p>
    <w:p>
      <w:pPr>
        <w:pStyle w:val="21"/>
        <w:spacing w:before="192" w:beforeLines="80" w:beforeAutospacing="0"/>
        <w:jc w:val="center"/>
        <w:outlineLvl w:val="9"/>
        <w:rPr>
          <w:rFonts w:hint="eastAsia" w:ascii="黑体" w:hAnsi="黑体" w:eastAsia="黑体"/>
          <w:snapToGrid w:val="0"/>
          <w:color w:val="000000" w:themeColor="text1"/>
          <w:sz w:val="30"/>
          <w:szCs w:val="30"/>
          <w14:textFill>
            <w14:solidFill>
              <w14:schemeClr w14:val="tx1"/>
            </w14:solidFill>
          </w14:textFill>
        </w:rPr>
        <w:sectPr>
          <w:pgSz w:w="16838" w:h="11906" w:orient="landscape"/>
          <w:pgMar w:top="1803" w:right="1440" w:bottom="1803" w:left="1440"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1"/>
        <w:spacing w:before="192" w:beforeLines="80" w:beforeAutospacing="0"/>
        <w:jc w:val="center"/>
        <w:outlineLvl w:val="0"/>
        <w:rPr>
          <w:rFonts w:ascii="黑体" w:hAnsi="黑体" w:eastAsia="黑体"/>
          <w:snapToGrid w:val="0"/>
          <w:color w:val="000000" w:themeColor="text1"/>
          <w:sz w:val="30"/>
          <w:szCs w:val="30"/>
          <w14:textFill>
            <w14:solidFill>
              <w14:schemeClr w14:val="tx1"/>
            </w14:solidFill>
          </w14:textFill>
        </w:rPr>
      </w:pPr>
      <w:bookmarkStart w:id="41" w:name="_Toc8083"/>
      <w:r>
        <w:rPr>
          <w:rFonts w:hint="eastAsia" w:ascii="黑体" w:hAnsi="黑体" w:eastAsia="黑体"/>
          <w:snapToGrid w:val="0"/>
          <w:color w:val="000000" w:themeColor="text1"/>
          <w:sz w:val="30"/>
          <w:szCs w:val="30"/>
          <w14:textFill>
            <w14:solidFill>
              <w14:schemeClr w14:val="tx1"/>
            </w14:solidFill>
          </w14:textFill>
        </w:rPr>
        <w:t>七、结论</w:t>
      </w:r>
      <w:bookmarkEnd w:id="4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top"/>
          </w:tcPr>
          <w:p>
            <w:pPr>
              <w:keepNext w:val="0"/>
              <w:keepLines w:val="0"/>
              <w:pageBreakBefore w:val="0"/>
              <w:widowControl/>
              <w:suppressLineNumbers w:val="0"/>
              <w:kinsoku w:val="0"/>
              <w:wordWrap w:val="0"/>
              <w:overflowPunct w:val="0"/>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sz w:val="24"/>
                <w:szCs w:val="24"/>
                <w:highlight w:val="none"/>
                <w:lang w:val="zh-CN" w:eastAsia="zh-CN"/>
                <w14:textFill>
                  <w14:solidFill>
                    <w14:schemeClr w14:val="tx1"/>
                  </w14:solidFill>
                </w14:textFill>
              </w:rPr>
              <w:t>本项目</w:t>
            </w:r>
            <w:r>
              <w:rPr>
                <w:rFonts w:hint="eastAsia" w:ascii="仿宋" w:hAnsi="仿宋" w:eastAsia="仿宋" w:cs="仿宋"/>
                <w:color w:val="000000" w:themeColor="text1"/>
                <w:sz w:val="24"/>
                <w:szCs w:val="24"/>
                <w:highlight w:val="none"/>
                <w:lang w:val="en-US" w:eastAsia="zh-CN"/>
                <w14:textFill>
                  <w14:solidFill>
                    <w14:schemeClr w14:val="tx1"/>
                  </w14:solidFill>
                </w14:textFill>
              </w:rPr>
              <w:t>为列入《云南省“千乡万村驭风行动”第一批项目开发建设方案》（云能源水电〔2024〕118号）规划建设的项目之一，项目的实施符合国家产业政策。</w:t>
            </w: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符合《云南省主体功能区规划》《云南省生态功能区规划》</w:t>
            </w:r>
            <w:r>
              <w:rPr>
                <w:rFonts w:hint="eastAsia" w:ascii="仿宋" w:hAnsi="仿宋" w:eastAsia="仿宋" w:cs="仿宋"/>
                <w:color w:val="000000" w:themeColor="text1"/>
                <w:kern w:val="0"/>
                <w:sz w:val="24"/>
                <w:szCs w:val="24"/>
                <w:highlight w:val="none"/>
                <w14:textFill>
                  <w14:solidFill>
                    <w14:schemeClr w14:val="tx1"/>
                  </w14:solidFill>
                </w14:textFill>
              </w:rPr>
              <w:t>《大理州生态环境分区管控动态更新调整方案（2023年）》（大环发〔2024〕44号）</w:t>
            </w: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要求。项目不涉及依法设立的风景名胜区、文物保护单位、云南省候鸟迁徙通道等生态环境敏感区。</w:t>
            </w:r>
          </w:p>
          <w:p>
            <w:pPr>
              <w:autoSpaceDE w:val="0"/>
              <w:autoSpaceDN w:val="0"/>
              <w:adjustRightInd w:val="0"/>
              <w:spacing w:line="360" w:lineRule="auto"/>
              <w:ind w:firstLine="480" w:firstLineChars="200"/>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项目选址不占用自然保护区、自然公园、世界自然遗产地、重要生境、饮用水水源保护区、永久基本农田、天然乔木林、一级国家公益林地和二级国家公益林中的有林地等敏感区域，不涉及云南省生物多样性保护优先区域</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拟建项目为风力发电项目，采用的技术成熟、可靠，项目场址选择合理；在设计和施工过程中按本报告提出的污染防治措施落实后，对当地声环境、大气环境、水环境及生态环境的影响小，不会改变项目所在区域环境现有功能。</w:t>
            </w:r>
          </w:p>
          <w:p>
            <w:pPr>
              <w:autoSpaceDE w:val="0"/>
              <w:autoSpaceDN w:val="0"/>
              <w:adjustRightInd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从环保角度分析，该项目建设是可行的。</w:t>
            </w:r>
          </w:p>
          <w:p>
            <w:pPr>
              <w:tabs>
                <w:tab w:val="left" w:pos="3615"/>
              </w:tabs>
              <w:spacing w:line="360" w:lineRule="auto"/>
              <w:ind w:firstLine="480" w:firstLineChars="200"/>
              <w:jc w:val="left"/>
              <w:rPr>
                <w:rFonts w:hint="eastAsia" w:ascii="仿宋" w:hAnsi="仿宋" w:eastAsia="仿宋" w:cs="仿宋"/>
                <w:color w:val="000000" w:themeColor="text1"/>
                <w:sz w:val="24"/>
                <w:szCs w:val="24"/>
                <w:lang w:val="en-US"/>
                <w14:textFill>
                  <w14:solidFill>
                    <w14:schemeClr w14:val="tx1"/>
                  </w14:solidFill>
                </w14:textFill>
              </w:rPr>
            </w:pPr>
          </w:p>
        </w:tc>
      </w:tr>
    </w:tbl>
    <w:p>
      <w:pPr>
        <w:rPr>
          <w:rFonts w:ascii="宋体"/>
          <w:color w:val="000000" w:themeColor="text1"/>
          <w14:textFill>
            <w14:solidFill>
              <w14:schemeClr w14:val="tx1"/>
            </w14:solidFill>
          </w14:textFill>
        </w:rPr>
      </w:pPr>
    </w:p>
    <w:p>
      <w:pPr>
        <w:adjustRightInd w:val="0"/>
        <w:snapToGrid w:val="0"/>
        <w:spacing w:before="192" w:beforeLines="80"/>
        <w:outlineLvl w:val="9"/>
        <w:rPr>
          <w:rFonts w:ascii="宋体"/>
          <w:color w:val="000000" w:themeColor="text1"/>
          <w14:textFill>
            <w14:solidFill>
              <w14:schemeClr w14:val="tx1"/>
            </w14:solidFill>
          </w14:textFill>
        </w:rPr>
      </w:pPr>
    </w:p>
    <w:sectPr>
      <w:pgSz w:w="11906" w:h="16838"/>
      <w:pgMar w:top="1440" w:right="1803" w:bottom="1440" w:left="1803" w:header="851" w:footer="1077"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28"/>
      </w:rPr>
    </w:pPr>
    <w:r>
      <w:fldChar w:fldCharType="begin"/>
    </w:r>
    <w:r>
      <w:rPr>
        <w:rStyle w:val="28"/>
      </w:rPr>
      <w:instrText xml:space="preserve">PAGE  </w:instrText>
    </w:r>
    <w:r>
      <w:fldChar w:fldCharType="end"/>
    </w:r>
  </w:p>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pLMfT3gEAAMADAAAOAAAAAAAA&#10;AAEAIAAAAB4BAABkcnMvZTJvRG9jLnhtbFBLBQYAAAAABgAGAFkBAABu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5</w:t>
                          </w:r>
                          <w:r>
                            <w:fldChar w:fldCharType="end"/>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v8LQGd8BAADAAwAADgAAAAAA&#10;AAABACAAAAAeAQAAZHJzL2Uyb0RvYy54bWxQSwUGAAAAAAYABgBZAQAAbw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4" w:space="1"/>
      </w:pBdr>
      <w:rPr>
        <w:rFonts w:hint="eastAsia" w:ascii="楷体" w:hAnsi="楷体" w:eastAsia="楷体" w:cs="楷体"/>
        <w:i/>
        <w:iCs/>
        <w:lang w:eastAsia="zh-CN"/>
      </w:rPr>
    </w:pPr>
    <w:r>
      <w:rPr>
        <w:rFonts w:hint="eastAsia" w:ascii="楷体" w:hAnsi="楷体" w:eastAsia="楷体" w:cs="楷体"/>
        <w:i/>
        <w:iCs/>
        <w:lang w:eastAsia="zh-CN"/>
      </w:rPr>
      <w:t>“千乡万村驭风行动”莲峰村项目环境影响报告表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7570C7"/>
    <w:multiLevelType w:val="multilevel"/>
    <w:tmpl w:val="067570C7"/>
    <w:lvl w:ilvl="0" w:tentative="0">
      <w:start w:val="5"/>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6"/>
      <w:lvlText w:val="%4."/>
      <w:lvlJc w:val="left"/>
      <w:pPr>
        <w:tabs>
          <w:tab w:val="left" w:pos="1680"/>
        </w:tabs>
        <w:ind w:left="147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56F041C"/>
    <w:multiLevelType w:val="singleLevel"/>
    <w:tmpl w:val="356F041C"/>
    <w:lvl w:ilvl="0" w:tentative="0">
      <w:start w:val="5"/>
      <w:numFmt w:val="chineseCounting"/>
      <w:suff w:val="nothing"/>
      <w:lvlText w:val="%1、"/>
      <w:lvlJc w:val="left"/>
      <w:rPr>
        <w:rFonts w:hint="eastAsia"/>
      </w:rPr>
    </w:lvl>
  </w:abstractNum>
  <w:abstractNum w:abstractNumId="2">
    <w:nsid w:val="7C45288D"/>
    <w:multiLevelType w:val="singleLevel"/>
    <w:tmpl w:val="7C45288D"/>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2N2Q5MzU4N2VmN2FjMGNjYzQ2ZDQ2YjA0YmExMWI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31200"/>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1B70"/>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57F95"/>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0BA6"/>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40F3"/>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C4D6E"/>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926F8"/>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253372"/>
    <w:rsid w:val="01304B5A"/>
    <w:rsid w:val="02251300"/>
    <w:rsid w:val="022C6982"/>
    <w:rsid w:val="02555ED9"/>
    <w:rsid w:val="0294340A"/>
    <w:rsid w:val="02DC5124"/>
    <w:rsid w:val="030605FF"/>
    <w:rsid w:val="0363276B"/>
    <w:rsid w:val="039B38EE"/>
    <w:rsid w:val="03B155CA"/>
    <w:rsid w:val="03E62B43"/>
    <w:rsid w:val="04417EF7"/>
    <w:rsid w:val="05355B4E"/>
    <w:rsid w:val="05383505"/>
    <w:rsid w:val="05742AC8"/>
    <w:rsid w:val="057C19CF"/>
    <w:rsid w:val="06247F23"/>
    <w:rsid w:val="06352F05"/>
    <w:rsid w:val="063E7D85"/>
    <w:rsid w:val="06BA3381"/>
    <w:rsid w:val="06E33F34"/>
    <w:rsid w:val="06FB0D2B"/>
    <w:rsid w:val="070875E0"/>
    <w:rsid w:val="07293586"/>
    <w:rsid w:val="07295285"/>
    <w:rsid w:val="07770C56"/>
    <w:rsid w:val="07882777"/>
    <w:rsid w:val="07DB689E"/>
    <w:rsid w:val="081A409E"/>
    <w:rsid w:val="083B347B"/>
    <w:rsid w:val="089A4CD8"/>
    <w:rsid w:val="08BB6735"/>
    <w:rsid w:val="08BC3A5D"/>
    <w:rsid w:val="08C653F3"/>
    <w:rsid w:val="08EC7D68"/>
    <w:rsid w:val="08FB0967"/>
    <w:rsid w:val="0911086F"/>
    <w:rsid w:val="092217DD"/>
    <w:rsid w:val="093A7294"/>
    <w:rsid w:val="096A216E"/>
    <w:rsid w:val="09885D4A"/>
    <w:rsid w:val="09AD3F87"/>
    <w:rsid w:val="0A222B45"/>
    <w:rsid w:val="0A5504BC"/>
    <w:rsid w:val="0ADB0155"/>
    <w:rsid w:val="0AEC1952"/>
    <w:rsid w:val="0B35632B"/>
    <w:rsid w:val="0B660A46"/>
    <w:rsid w:val="0B8D5AD5"/>
    <w:rsid w:val="0BD14E16"/>
    <w:rsid w:val="0BD27BF6"/>
    <w:rsid w:val="0C3B5EB7"/>
    <w:rsid w:val="0C8F08B2"/>
    <w:rsid w:val="0C99655E"/>
    <w:rsid w:val="0D195C9B"/>
    <w:rsid w:val="0D5C5F15"/>
    <w:rsid w:val="0D6B6F52"/>
    <w:rsid w:val="0DDA30F3"/>
    <w:rsid w:val="0E110D06"/>
    <w:rsid w:val="0E4423E5"/>
    <w:rsid w:val="0F13775A"/>
    <w:rsid w:val="0F9014DA"/>
    <w:rsid w:val="0F9A112B"/>
    <w:rsid w:val="10115BB9"/>
    <w:rsid w:val="102846E2"/>
    <w:rsid w:val="104C3766"/>
    <w:rsid w:val="105369DF"/>
    <w:rsid w:val="10553460"/>
    <w:rsid w:val="106D2F64"/>
    <w:rsid w:val="10B63710"/>
    <w:rsid w:val="111C2F7A"/>
    <w:rsid w:val="113013DE"/>
    <w:rsid w:val="119C5760"/>
    <w:rsid w:val="11AC7198"/>
    <w:rsid w:val="12042B30"/>
    <w:rsid w:val="12081432"/>
    <w:rsid w:val="122B06C2"/>
    <w:rsid w:val="127A6597"/>
    <w:rsid w:val="12EB1201"/>
    <w:rsid w:val="13145C22"/>
    <w:rsid w:val="13201BEB"/>
    <w:rsid w:val="132814C3"/>
    <w:rsid w:val="13951726"/>
    <w:rsid w:val="13B25794"/>
    <w:rsid w:val="13B678B9"/>
    <w:rsid w:val="14114EB0"/>
    <w:rsid w:val="14396509"/>
    <w:rsid w:val="1447165C"/>
    <w:rsid w:val="147750F0"/>
    <w:rsid w:val="147A6267"/>
    <w:rsid w:val="14DB5683"/>
    <w:rsid w:val="14F35FC8"/>
    <w:rsid w:val="15012AC6"/>
    <w:rsid w:val="1546220E"/>
    <w:rsid w:val="15547835"/>
    <w:rsid w:val="15655A3F"/>
    <w:rsid w:val="15D21229"/>
    <w:rsid w:val="16814701"/>
    <w:rsid w:val="168B5FC6"/>
    <w:rsid w:val="16A6119C"/>
    <w:rsid w:val="17735226"/>
    <w:rsid w:val="181C10D4"/>
    <w:rsid w:val="182715A8"/>
    <w:rsid w:val="184B535E"/>
    <w:rsid w:val="1868321D"/>
    <w:rsid w:val="18C6074F"/>
    <w:rsid w:val="18E202AA"/>
    <w:rsid w:val="18FF17AC"/>
    <w:rsid w:val="190C07E0"/>
    <w:rsid w:val="1A1C66C0"/>
    <w:rsid w:val="1A42393B"/>
    <w:rsid w:val="1A4603DE"/>
    <w:rsid w:val="1ABF306F"/>
    <w:rsid w:val="1AC74C6D"/>
    <w:rsid w:val="1B046F80"/>
    <w:rsid w:val="1B3267B5"/>
    <w:rsid w:val="1B606897"/>
    <w:rsid w:val="1B7D16A9"/>
    <w:rsid w:val="1BB9498B"/>
    <w:rsid w:val="1BC25DC8"/>
    <w:rsid w:val="1BCB4D35"/>
    <w:rsid w:val="1C0A6F62"/>
    <w:rsid w:val="1C255294"/>
    <w:rsid w:val="1C5E7925"/>
    <w:rsid w:val="1C887FC8"/>
    <w:rsid w:val="1D4961E3"/>
    <w:rsid w:val="1D554B87"/>
    <w:rsid w:val="1D5F6196"/>
    <w:rsid w:val="1D6132A5"/>
    <w:rsid w:val="1D7F6A8C"/>
    <w:rsid w:val="1D8E56D5"/>
    <w:rsid w:val="1DA45745"/>
    <w:rsid w:val="1DC832FA"/>
    <w:rsid w:val="1DC93D81"/>
    <w:rsid w:val="1DDC4F80"/>
    <w:rsid w:val="1DEE4C04"/>
    <w:rsid w:val="1E0567B8"/>
    <w:rsid w:val="1E53278C"/>
    <w:rsid w:val="1E7A43DA"/>
    <w:rsid w:val="1EB277FE"/>
    <w:rsid w:val="1F062AC0"/>
    <w:rsid w:val="1FE7539E"/>
    <w:rsid w:val="1FF838B6"/>
    <w:rsid w:val="204E1E10"/>
    <w:rsid w:val="205A048F"/>
    <w:rsid w:val="2080016D"/>
    <w:rsid w:val="20963CB8"/>
    <w:rsid w:val="20B07FB6"/>
    <w:rsid w:val="20B757F8"/>
    <w:rsid w:val="20E51BD4"/>
    <w:rsid w:val="20EA4ED6"/>
    <w:rsid w:val="2111456C"/>
    <w:rsid w:val="213B74B1"/>
    <w:rsid w:val="215A2310"/>
    <w:rsid w:val="21A6689E"/>
    <w:rsid w:val="21B837FC"/>
    <w:rsid w:val="21DE318A"/>
    <w:rsid w:val="21EF5B80"/>
    <w:rsid w:val="22576990"/>
    <w:rsid w:val="225E0C71"/>
    <w:rsid w:val="229C4EAB"/>
    <w:rsid w:val="2308502F"/>
    <w:rsid w:val="23614286"/>
    <w:rsid w:val="23704C43"/>
    <w:rsid w:val="23B16E9F"/>
    <w:rsid w:val="24611912"/>
    <w:rsid w:val="24665F00"/>
    <w:rsid w:val="2508570F"/>
    <w:rsid w:val="25201EEB"/>
    <w:rsid w:val="252D53FE"/>
    <w:rsid w:val="25D143DD"/>
    <w:rsid w:val="25EC2D81"/>
    <w:rsid w:val="263667EA"/>
    <w:rsid w:val="264528BD"/>
    <w:rsid w:val="26FC3FA3"/>
    <w:rsid w:val="27893560"/>
    <w:rsid w:val="27AF0A37"/>
    <w:rsid w:val="27D1595E"/>
    <w:rsid w:val="27D15DD1"/>
    <w:rsid w:val="27E36718"/>
    <w:rsid w:val="27FF7428"/>
    <w:rsid w:val="281A4A03"/>
    <w:rsid w:val="28424C7D"/>
    <w:rsid w:val="288D53BF"/>
    <w:rsid w:val="28A76295"/>
    <w:rsid w:val="28E761FC"/>
    <w:rsid w:val="29206EB8"/>
    <w:rsid w:val="29322FA2"/>
    <w:rsid w:val="29E325E0"/>
    <w:rsid w:val="29E46C26"/>
    <w:rsid w:val="2A452503"/>
    <w:rsid w:val="2B0D0850"/>
    <w:rsid w:val="2B3E1E31"/>
    <w:rsid w:val="2BA936A8"/>
    <w:rsid w:val="2C222047"/>
    <w:rsid w:val="2C315A5A"/>
    <w:rsid w:val="2C84776D"/>
    <w:rsid w:val="2CBE3C1C"/>
    <w:rsid w:val="2D0D28C9"/>
    <w:rsid w:val="2D9270F8"/>
    <w:rsid w:val="2D9E56F5"/>
    <w:rsid w:val="2DB919F4"/>
    <w:rsid w:val="2DBD47AF"/>
    <w:rsid w:val="2DBE12A1"/>
    <w:rsid w:val="2E083AD2"/>
    <w:rsid w:val="2E667F96"/>
    <w:rsid w:val="2E8226AB"/>
    <w:rsid w:val="2EBE0690"/>
    <w:rsid w:val="2F2A6C58"/>
    <w:rsid w:val="2F7B3934"/>
    <w:rsid w:val="2F832C79"/>
    <w:rsid w:val="2F9D357F"/>
    <w:rsid w:val="2FCE5513"/>
    <w:rsid w:val="2FEF2D58"/>
    <w:rsid w:val="302F6027"/>
    <w:rsid w:val="30580BC9"/>
    <w:rsid w:val="30B96EF3"/>
    <w:rsid w:val="311E2ED7"/>
    <w:rsid w:val="315C449C"/>
    <w:rsid w:val="31A622DD"/>
    <w:rsid w:val="31B82709"/>
    <w:rsid w:val="31CB4903"/>
    <w:rsid w:val="322C7EDB"/>
    <w:rsid w:val="32400B34"/>
    <w:rsid w:val="32464DF4"/>
    <w:rsid w:val="324B04EA"/>
    <w:rsid w:val="32807B59"/>
    <w:rsid w:val="329E5D19"/>
    <w:rsid w:val="329E6876"/>
    <w:rsid w:val="33195FF0"/>
    <w:rsid w:val="333A5F50"/>
    <w:rsid w:val="33D934D4"/>
    <w:rsid w:val="33FE2F6A"/>
    <w:rsid w:val="340E6A81"/>
    <w:rsid w:val="34824382"/>
    <w:rsid w:val="355D635D"/>
    <w:rsid w:val="35E76AAD"/>
    <w:rsid w:val="35EF74CF"/>
    <w:rsid w:val="36074A7F"/>
    <w:rsid w:val="36923549"/>
    <w:rsid w:val="36A56DEA"/>
    <w:rsid w:val="36A87185"/>
    <w:rsid w:val="36B75FBF"/>
    <w:rsid w:val="36D556B1"/>
    <w:rsid w:val="36EF3260"/>
    <w:rsid w:val="36FB00F6"/>
    <w:rsid w:val="36FB4891"/>
    <w:rsid w:val="371230D3"/>
    <w:rsid w:val="37A85D3A"/>
    <w:rsid w:val="37A918F1"/>
    <w:rsid w:val="37AE5A9A"/>
    <w:rsid w:val="37C73FA5"/>
    <w:rsid w:val="380F7E6A"/>
    <w:rsid w:val="385555E4"/>
    <w:rsid w:val="389B69BE"/>
    <w:rsid w:val="38E3775D"/>
    <w:rsid w:val="38F12CD3"/>
    <w:rsid w:val="38F94775"/>
    <w:rsid w:val="392971ED"/>
    <w:rsid w:val="3951779C"/>
    <w:rsid w:val="39546F68"/>
    <w:rsid w:val="3A3C4CAD"/>
    <w:rsid w:val="3A8A0214"/>
    <w:rsid w:val="3ADC1911"/>
    <w:rsid w:val="3AE64C44"/>
    <w:rsid w:val="3B3763D1"/>
    <w:rsid w:val="3B5410BB"/>
    <w:rsid w:val="3BE40F92"/>
    <w:rsid w:val="3C1E4FD4"/>
    <w:rsid w:val="3CB062C6"/>
    <w:rsid w:val="3CDA245A"/>
    <w:rsid w:val="3CEE0A37"/>
    <w:rsid w:val="3CFA115A"/>
    <w:rsid w:val="3D697A98"/>
    <w:rsid w:val="3DD1380B"/>
    <w:rsid w:val="3E342D63"/>
    <w:rsid w:val="3E467169"/>
    <w:rsid w:val="3E770335"/>
    <w:rsid w:val="3E807CA8"/>
    <w:rsid w:val="3E9B474F"/>
    <w:rsid w:val="3E9D2057"/>
    <w:rsid w:val="3EFE7E58"/>
    <w:rsid w:val="3F2E36ED"/>
    <w:rsid w:val="3F660E74"/>
    <w:rsid w:val="403A09EA"/>
    <w:rsid w:val="404F0B91"/>
    <w:rsid w:val="40504292"/>
    <w:rsid w:val="407A6407"/>
    <w:rsid w:val="411B5877"/>
    <w:rsid w:val="414A00B6"/>
    <w:rsid w:val="41874A60"/>
    <w:rsid w:val="41D5475C"/>
    <w:rsid w:val="423A3BCC"/>
    <w:rsid w:val="42477525"/>
    <w:rsid w:val="42B15B0D"/>
    <w:rsid w:val="42D8463F"/>
    <w:rsid w:val="42F61E7F"/>
    <w:rsid w:val="4314016E"/>
    <w:rsid w:val="433A6FE6"/>
    <w:rsid w:val="4350713C"/>
    <w:rsid w:val="436653E0"/>
    <w:rsid w:val="4376712E"/>
    <w:rsid w:val="44CD14E0"/>
    <w:rsid w:val="458946E9"/>
    <w:rsid w:val="45DE431C"/>
    <w:rsid w:val="46536008"/>
    <w:rsid w:val="46B72298"/>
    <w:rsid w:val="46BE367D"/>
    <w:rsid w:val="46D955A7"/>
    <w:rsid w:val="46D97434"/>
    <w:rsid w:val="46DB7F73"/>
    <w:rsid w:val="46FC35A8"/>
    <w:rsid w:val="470F336F"/>
    <w:rsid w:val="47133957"/>
    <w:rsid w:val="4779329E"/>
    <w:rsid w:val="47864E76"/>
    <w:rsid w:val="47A07E0C"/>
    <w:rsid w:val="47A23261"/>
    <w:rsid w:val="47FC5A7C"/>
    <w:rsid w:val="481C554F"/>
    <w:rsid w:val="4870272E"/>
    <w:rsid w:val="48BD469A"/>
    <w:rsid w:val="49DC7715"/>
    <w:rsid w:val="49EE153F"/>
    <w:rsid w:val="4A023139"/>
    <w:rsid w:val="4A4B6786"/>
    <w:rsid w:val="4A7B576F"/>
    <w:rsid w:val="4BBA0F4E"/>
    <w:rsid w:val="4BF673E7"/>
    <w:rsid w:val="4C4A0649"/>
    <w:rsid w:val="4C7057B3"/>
    <w:rsid w:val="4C7B77A8"/>
    <w:rsid w:val="4CAA7484"/>
    <w:rsid w:val="4CE470D3"/>
    <w:rsid w:val="4D23119C"/>
    <w:rsid w:val="4DD7100B"/>
    <w:rsid w:val="4DEC4FB0"/>
    <w:rsid w:val="4E051A13"/>
    <w:rsid w:val="4E075D8A"/>
    <w:rsid w:val="4EF8557D"/>
    <w:rsid w:val="4F2B26D3"/>
    <w:rsid w:val="4F6162A5"/>
    <w:rsid w:val="4FC62A8C"/>
    <w:rsid w:val="4FD7045F"/>
    <w:rsid w:val="4FE20F0D"/>
    <w:rsid w:val="4FE67762"/>
    <w:rsid w:val="503A6B4E"/>
    <w:rsid w:val="50504C4B"/>
    <w:rsid w:val="50582A3A"/>
    <w:rsid w:val="506E414D"/>
    <w:rsid w:val="509C6E7C"/>
    <w:rsid w:val="5162104E"/>
    <w:rsid w:val="51BE52A3"/>
    <w:rsid w:val="51E40883"/>
    <w:rsid w:val="51F95B5A"/>
    <w:rsid w:val="52432750"/>
    <w:rsid w:val="52624D56"/>
    <w:rsid w:val="52AF1E82"/>
    <w:rsid w:val="52BC75E5"/>
    <w:rsid w:val="52C673B2"/>
    <w:rsid w:val="52CA0BA0"/>
    <w:rsid w:val="52DD531B"/>
    <w:rsid w:val="52E8557B"/>
    <w:rsid w:val="52FA579D"/>
    <w:rsid w:val="53A039CC"/>
    <w:rsid w:val="53A1505A"/>
    <w:rsid w:val="53CD207B"/>
    <w:rsid w:val="54063E08"/>
    <w:rsid w:val="543437E8"/>
    <w:rsid w:val="5457252F"/>
    <w:rsid w:val="545B4DC0"/>
    <w:rsid w:val="54C84FFC"/>
    <w:rsid w:val="551B39E5"/>
    <w:rsid w:val="556C61DE"/>
    <w:rsid w:val="559B174B"/>
    <w:rsid w:val="55CE0CF4"/>
    <w:rsid w:val="55FA418B"/>
    <w:rsid w:val="56B22A9C"/>
    <w:rsid w:val="56B950CD"/>
    <w:rsid w:val="56D3265E"/>
    <w:rsid w:val="56DB4160"/>
    <w:rsid w:val="56DD6447"/>
    <w:rsid w:val="56EF3879"/>
    <w:rsid w:val="574B60D8"/>
    <w:rsid w:val="57867B95"/>
    <w:rsid w:val="57B72A76"/>
    <w:rsid w:val="57BC098B"/>
    <w:rsid w:val="57D13803"/>
    <w:rsid w:val="582A051C"/>
    <w:rsid w:val="58907967"/>
    <w:rsid w:val="5A0F5576"/>
    <w:rsid w:val="5A3C747D"/>
    <w:rsid w:val="5A966CAB"/>
    <w:rsid w:val="5A98495C"/>
    <w:rsid w:val="5ABE2233"/>
    <w:rsid w:val="5AC223C3"/>
    <w:rsid w:val="5AD24368"/>
    <w:rsid w:val="5B276D18"/>
    <w:rsid w:val="5BB32D4B"/>
    <w:rsid w:val="5BBF0577"/>
    <w:rsid w:val="5BDF5D95"/>
    <w:rsid w:val="5C84354A"/>
    <w:rsid w:val="5C971D9E"/>
    <w:rsid w:val="5CF362F4"/>
    <w:rsid w:val="5D4D0C05"/>
    <w:rsid w:val="5D5F2D41"/>
    <w:rsid w:val="5D933C84"/>
    <w:rsid w:val="5DC80318"/>
    <w:rsid w:val="5DD52FB8"/>
    <w:rsid w:val="5DF024F1"/>
    <w:rsid w:val="5DF72169"/>
    <w:rsid w:val="5DF87A0F"/>
    <w:rsid w:val="5E9D2FCC"/>
    <w:rsid w:val="5F0F1EEB"/>
    <w:rsid w:val="5F1A2B43"/>
    <w:rsid w:val="5F7A0B79"/>
    <w:rsid w:val="5F8B4920"/>
    <w:rsid w:val="5F935611"/>
    <w:rsid w:val="5F962CDB"/>
    <w:rsid w:val="5F9B646E"/>
    <w:rsid w:val="5FB837BB"/>
    <w:rsid w:val="5FCA24C6"/>
    <w:rsid w:val="5FE82646"/>
    <w:rsid w:val="600164DE"/>
    <w:rsid w:val="603E722A"/>
    <w:rsid w:val="607C20CB"/>
    <w:rsid w:val="60B77FA4"/>
    <w:rsid w:val="61197E0E"/>
    <w:rsid w:val="61D255C3"/>
    <w:rsid w:val="61E07D99"/>
    <w:rsid w:val="62364782"/>
    <w:rsid w:val="624B342E"/>
    <w:rsid w:val="62B530C6"/>
    <w:rsid w:val="62F400B2"/>
    <w:rsid w:val="63103B39"/>
    <w:rsid w:val="63957907"/>
    <w:rsid w:val="63A06FFB"/>
    <w:rsid w:val="63D40BE9"/>
    <w:rsid w:val="63E0211F"/>
    <w:rsid w:val="64203B94"/>
    <w:rsid w:val="64811656"/>
    <w:rsid w:val="65373578"/>
    <w:rsid w:val="654012EA"/>
    <w:rsid w:val="6572241F"/>
    <w:rsid w:val="65C6206E"/>
    <w:rsid w:val="662A124C"/>
    <w:rsid w:val="66447F98"/>
    <w:rsid w:val="667271DD"/>
    <w:rsid w:val="66742BE1"/>
    <w:rsid w:val="667E5B82"/>
    <w:rsid w:val="66A60684"/>
    <w:rsid w:val="672426B9"/>
    <w:rsid w:val="673F2C7A"/>
    <w:rsid w:val="67A37DD8"/>
    <w:rsid w:val="67B71D2D"/>
    <w:rsid w:val="67FB115C"/>
    <w:rsid w:val="681F6961"/>
    <w:rsid w:val="684331D2"/>
    <w:rsid w:val="68610A2F"/>
    <w:rsid w:val="68805514"/>
    <w:rsid w:val="6890509C"/>
    <w:rsid w:val="68AD5B9E"/>
    <w:rsid w:val="694E2071"/>
    <w:rsid w:val="697A3B33"/>
    <w:rsid w:val="699E2456"/>
    <w:rsid w:val="69E421A0"/>
    <w:rsid w:val="6A013F97"/>
    <w:rsid w:val="6A9164AF"/>
    <w:rsid w:val="6B322639"/>
    <w:rsid w:val="6BA03C76"/>
    <w:rsid w:val="6BD00A0B"/>
    <w:rsid w:val="6BFA66DC"/>
    <w:rsid w:val="6C213BA3"/>
    <w:rsid w:val="6C636C38"/>
    <w:rsid w:val="6CB116A9"/>
    <w:rsid w:val="6CDD4E4A"/>
    <w:rsid w:val="6D5A3669"/>
    <w:rsid w:val="6D7754E5"/>
    <w:rsid w:val="6D9C0FE4"/>
    <w:rsid w:val="6DB34098"/>
    <w:rsid w:val="6DB545B6"/>
    <w:rsid w:val="6DDE683E"/>
    <w:rsid w:val="6E387AC6"/>
    <w:rsid w:val="6E4375A0"/>
    <w:rsid w:val="6E514CED"/>
    <w:rsid w:val="6E773A74"/>
    <w:rsid w:val="6E79491A"/>
    <w:rsid w:val="6E9E15BC"/>
    <w:rsid w:val="6EB563D5"/>
    <w:rsid w:val="6EF8049C"/>
    <w:rsid w:val="6F0373B7"/>
    <w:rsid w:val="6F225983"/>
    <w:rsid w:val="6F287B5F"/>
    <w:rsid w:val="6FFC5590"/>
    <w:rsid w:val="70301DA3"/>
    <w:rsid w:val="70397FF8"/>
    <w:rsid w:val="703F17E6"/>
    <w:rsid w:val="706D1DD0"/>
    <w:rsid w:val="70856B87"/>
    <w:rsid w:val="70B63074"/>
    <w:rsid w:val="70D527EE"/>
    <w:rsid w:val="71062C55"/>
    <w:rsid w:val="71065CE9"/>
    <w:rsid w:val="71334878"/>
    <w:rsid w:val="715B5300"/>
    <w:rsid w:val="715F4BD7"/>
    <w:rsid w:val="719E2D77"/>
    <w:rsid w:val="71D27F8A"/>
    <w:rsid w:val="71D43D30"/>
    <w:rsid w:val="71D551B4"/>
    <w:rsid w:val="71F744C6"/>
    <w:rsid w:val="71F960CF"/>
    <w:rsid w:val="720C66D9"/>
    <w:rsid w:val="725077FC"/>
    <w:rsid w:val="730F7063"/>
    <w:rsid w:val="731F5D5E"/>
    <w:rsid w:val="73652183"/>
    <w:rsid w:val="73807257"/>
    <w:rsid w:val="73A46F2B"/>
    <w:rsid w:val="741E793C"/>
    <w:rsid w:val="750A69F6"/>
    <w:rsid w:val="751957C5"/>
    <w:rsid w:val="758A69D9"/>
    <w:rsid w:val="758D75E2"/>
    <w:rsid w:val="765910EF"/>
    <w:rsid w:val="76A41635"/>
    <w:rsid w:val="76BD49F2"/>
    <w:rsid w:val="770F2826"/>
    <w:rsid w:val="776349E9"/>
    <w:rsid w:val="77762421"/>
    <w:rsid w:val="777F3BD5"/>
    <w:rsid w:val="77DB4D6A"/>
    <w:rsid w:val="780F09F4"/>
    <w:rsid w:val="786821D4"/>
    <w:rsid w:val="789C4F47"/>
    <w:rsid w:val="78A90480"/>
    <w:rsid w:val="78AE3DBE"/>
    <w:rsid w:val="79447E35"/>
    <w:rsid w:val="797970B2"/>
    <w:rsid w:val="79811327"/>
    <w:rsid w:val="79C327EE"/>
    <w:rsid w:val="79F10323"/>
    <w:rsid w:val="7A364017"/>
    <w:rsid w:val="7A8265E1"/>
    <w:rsid w:val="7AFA5C29"/>
    <w:rsid w:val="7B686D42"/>
    <w:rsid w:val="7B841746"/>
    <w:rsid w:val="7B94329C"/>
    <w:rsid w:val="7C8C0D13"/>
    <w:rsid w:val="7C8F3585"/>
    <w:rsid w:val="7CB21186"/>
    <w:rsid w:val="7CC333D9"/>
    <w:rsid w:val="7CD5008C"/>
    <w:rsid w:val="7CFD6611"/>
    <w:rsid w:val="7D0239FF"/>
    <w:rsid w:val="7D4A6EDC"/>
    <w:rsid w:val="7D5E40CD"/>
    <w:rsid w:val="7D693BED"/>
    <w:rsid w:val="7D922C48"/>
    <w:rsid w:val="7E3849BD"/>
    <w:rsid w:val="7E4A0862"/>
    <w:rsid w:val="7EF97C6E"/>
    <w:rsid w:val="7F8C0EB8"/>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39" w:semiHidden="0" w:name="toc 9" w:locked="1"/>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qFormat/>
    <w:locked/>
    <w:uiPriority w:val="0"/>
    <w:pPr>
      <w:keepNext/>
      <w:keepLines/>
      <w:tabs>
        <w:tab w:val="right" w:leader="dot" w:pos="8398"/>
      </w:tabs>
      <w:spacing w:before="260" w:beforeLines="0" w:beforeAutospacing="0" w:after="260" w:afterLines="0" w:afterAutospacing="0" w:line="413" w:lineRule="auto"/>
      <w:outlineLvl w:val="1"/>
    </w:pPr>
    <w:rPr>
      <w:rFonts w:ascii="Arial" w:hAnsi="Arial" w:eastAsia="黑体"/>
      <w:b w:val="0"/>
      <w:sz w:val="32"/>
    </w:rPr>
  </w:style>
  <w:style w:type="paragraph" w:styleId="5">
    <w:name w:val="heading 3"/>
    <w:basedOn w:val="1"/>
    <w:next w:val="1"/>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6">
    <w:name w:val="heading 4"/>
    <w:basedOn w:val="1"/>
    <w:next w:val="1"/>
    <w:qFormat/>
    <w:locked/>
    <w:uiPriority w:val="0"/>
    <w:pPr>
      <w:numPr>
        <w:ilvl w:val="3"/>
        <w:numId w:val="1"/>
      </w:numPr>
      <w:tabs>
        <w:tab w:val="left" w:pos="0"/>
        <w:tab w:val="clear" w:pos="1680"/>
      </w:tabs>
      <w:adjustRightInd w:val="0"/>
      <w:spacing w:line="480" w:lineRule="atLeast"/>
      <w:jc w:val="left"/>
      <w:textAlignment w:val="baseline"/>
      <w:outlineLvl w:val="3"/>
    </w:pPr>
    <w:rPr>
      <w:rFonts w:ascii="楷体_GB2312" w:hAnsi="Arial" w:eastAsia="楷体_GB2312"/>
      <w:kern w:val="0"/>
      <w:sz w:val="28"/>
      <w:szCs w:val="20"/>
    </w:rPr>
  </w:style>
  <w:style w:type="paragraph" w:styleId="7">
    <w:name w:val="heading 5"/>
    <w:basedOn w:val="1"/>
    <w:next w:val="1"/>
    <w:qFormat/>
    <w:locked/>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4">
    <w:name w:val="toc 2"/>
    <w:basedOn w:val="1"/>
    <w:next w:val="1"/>
    <w:qFormat/>
    <w:locked/>
    <w:uiPriority w:val="39"/>
    <w:pPr>
      <w:tabs>
        <w:tab w:val="right" w:leader="dot" w:pos="8398"/>
      </w:tabs>
      <w:spacing w:beforeLines="50"/>
      <w:ind w:right="210"/>
      <w:jc w:val="center"/>
    </w:pPr>
    <w:rPr>
      <w:b/>
      <w:sz w:val="44"/>
      <w:szCs w:val="44"/>
    </w:rPr>
  </w:style>
  <w:style w:type="paragraph" w:styleId="8">
    <w:name w:val="Normal Indent"/>
    <w:basedOn w:val="1"/>
    <w:next w:val="1"/>
    <w:unhideWhenUsed/>
    <w:qFormat/>
    <w:uiPriority w:val="99"/>
    <w:pPr>
      <w:spacing w:line="440" w:lineRule="exact"/>
      <w:ind w:firstLine="420"/>
    </w:pPr>
    <w:rPr>
      <w:rFonts w:ascii="宋体" w:hAnsi="宋体" w:cs="宋体"/>
      <w:kern w:val="0"/>
      <w:sz w:val="24"/>
    </w:rPr>
  </w:style>
  <w:style w:type="paragraph" w:styleId="9">
    <w:name w:val="caption"/>
    <w:basedOn w:val="1"/>
    <w:next w:val="1"/>
    <w:unhideWhenUsed/>
    <w:qFormat/>
    <w:locked/>
    <w:uiPriority w:val="0"/>
    <w:pPr>
      <w:ind w:firstLine="0" w:firstLineChars="0"/>
      <w:contextualSpacing/>
      <w:jc w:val="center"/>
      <w:textAlignment w:val="center"/>
    </w:pPr>
    <w:rPr>
      <w:rFonts w:cs="Times New Roman"/>
      <w:b/>
      <w:bCs/>
      <w:iCs/>
      <w:spacing w:val="-4"/>
      <w:kern w:val="0"/>
      <w:szCs w:val="20"/>
    </w:rPr>
  </w:style>
  <w:style w:type="paragraph" w:styleId="10">
    <w:name w:val="annotation text"/>
    <w:basedOn w:val="1"/>
    <w:link w:val="33"/>
    <w:semiHidden/>
    <w:qFormat/>
    <w:uiPriority w:val="0"/>
    <w:pPr>
      <w:jc w:val="left"/>
    </w:pPr>
    <w:rPr>
      <w:kern w:val="0"/>
      <w:sz w:val="20"/>
    </w:rPr>
  </w:style>
  <w:style w:type="paragraph" w:styleId="11">
    <w:name w:val="Body Text"/>
    <w:basedOn w:val="1"/>
    <w:next w:val="12"/>
    <w:link w:val="34"/>
    <w:qFormat/>
    <w:uiPriority w:val="0"/>
    <w:pPr>
      <w:widowControl/>
      <w:snapToGrid w:val="0"/>
      <w:spacing w:before="60" w:after="160" w:line="259" w:lineRule="auto"/>
      <w:ind w:right="113"/>
    </w:pPr>
    <w:rPr>
      <w:kern w:val="0"/>
      <w:sz w:val="18"/>
      <w:szCs w:val="18"/>
    </w:r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link w:val="35"/>
    <w:semiHidden/>
    <w:qFormat/>
    <w:uiPriority w:val="0"/>
    <w:pPr>
      <w:spacing w:after="120"/>
      <w:ind w:left="420" w:leftChars="200"/>
    </w:pPr>
  </w:style>
  <w:style w:type="paragraph" w:styleId="14">
    <w:name w:val="toc 9"/>
    <w:basedOn w:val="1"/>
    <w:next w:val="1"/>
    <w:qFormat/>
    <w:locked/>
    <w:uiPriority w:val="39"/>
    <w:pPr>
      <w:ind w:left="1680"/>
      <w:jc w:val="left"/>
    </w:pPr>
    <w:rPr>
      <w:sz w:val="20"/>
      <w:szCs w:val="20"/>
    </w:rPr>
  </w:style>
  <w:style w:type="paragraph" w:styleId="15">
    <w:name w:val="Plain Text"/>
    <w:basedOn w:val="1"/>
    <w:qFormat/>
    <w:uiPriority w:val="0"/>
    <w:pPr>
      <w:ind w:firstLine="200" w:firstLineChars="200"/>
    </w:pPr>
    <w:rPr>
      <w:rFonts w:ascii="宋体" w:hAnsi="Courier New" w:eastAsia="宋体"/>
      <w:kern w:val="2"/>
      <w:sz w:val="28"/>
      <w:lang w:val="en-US" w:eastAsia="zh-CN" w:bidi="ar-SA"/>
    </w:rPr>
  </w:style>
  <w:style w:type="paragraph" w:styleId="16">
    <w:name w:val="Date"/>
    <w:basedOn w:val="1"/>
    <w:next w:val="1"/>
    <w:link w:val="36"/>
    <w:qFormat/>
    <w:uiPriority w:val="0"/>
    <w:pPr>
      <w:ind w:left="100" w:leftChars="2500"/>
    </w:pPr>
    <w:rPr>
      <w:kern w:val="0"/>
      <w:sz w:val="20"/>
    </w:rPr>
  </w:style>
  <w:style w:type="paragraph" w:styleId="17">
    <w:name w:val="Balloon Text"/>
    <w:basedOn w:val="1"/>
    <w:link w:val="37"/>
    <w:semiHidden/>
    <w:qFormat/>
    <w:uiPriority w:val="0"/>
    <w:rPr>
      <w:sz w:val="18"/>
      <w:szCs w:val="18"/>
    </w:rPr>
  </w:style>
  <w:style w:type="paragraph" w:styleId="18">
    <w:name w:val="footer"/>
    <w:basedOn w:val="1"/>
    <w:link w:val="38"/>
    <w:qFormat/>
    <w:uiPriority w:val="0"/>
    <w:pPr>
      <w:tabs>
        <w:tab w:val="center" w:pos="4153"/>
        <w:tab w:val="right" w:pos="8306"/>
      </w:tabs>
      <w:snapToGrid w:val="0"/>
      <w:jc w:val="left"/>
    </w:pPr>
    <w:rPr>
      <w:sz w:val="18"/>
      <w:szCs w:val="18"/>
    </w:rPr>
  </w:style>
  <w:style w:type="paragraph" w:styleId="19">
    <w:name w:val="header"/>
    <w:basedOn w:val="1"/>
    <w:next w:val="1"/>
    <w:link w:val="39"/>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locked/>
    <w:uiPriority w:val="0"/>
  </w:style>
  <w:style w:type="paragraph" w:styleId="21">
    <w:name w:val="Normal (Web)"/>
    <w:basedOn w:val="1"/>
    <w:link w:val="40"/>
    <w:qFormat/>
    <w:uiPriority w:val="0"/>
    <w:pPr>
      <w:widowControl/>
      <w:spacing w:before="100" w:beforeAutospacing="1" w:after="100" w:afterAutospacing="1"/>
      <w:jc w:val="left"/>
    </w:pPr>
    <w:rPr>
      <w:rFonts w:ascii="宋体" w:hAnsi="宋体"/>
      <w:kern w:val="0"/>
      <w:sz w:val="24"/>
    </w:rPr>
  </w:style>
  <w:style w:type="paragraph" w:styleId="22">
    <w:name w:val="annotation subject"/>
    <w:basedOn w:val="10"/>
    <w:next w:val="10"/>
    <w:link w:val="41"/>
    <w:semiHidden/>
    <w:qFormat/>
    <w:uiPriority w:val="0"/>
    <w:rPr>
      <w:b/>
      <w:bCs/>
    </w:rPr>
  </w:style>
  <w:style w:type="paragraph" w:styleId="23">
    <w:name w:val="Body Text First Indent 2"/>
    <w:basedOn w:val="1"/>
    <w:unhideWhenUsed/>
    <w:qFormat/>
    <w:uiPriority w:val="99"/>
    <w:pPr>
      <w:ind w:firstLine="420"/>
    </w:p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basedOn w:val="26"/>
    <w:qFormat/>
    <w:uiPriority w:val="0"/>
  </w:style>
  <w:style w:type="character" w:styleId="29">
    <w:name w:val="FollowedHyperlink"/>
    <w:basedOn w:val="26"/>
    <w:qFormat/>
    <w:uiPriority w:val="0"/>
    <w:rPr>
      <w:color w:val="333333"/>
      <w:u w:val="none"/>
    </w:rPr>
  </w:style>
  <w:style w:type="character" w:styleId="30">
    <w:name w:val="Emphasis"/>
    <w:basedOn w:val="26"/>
    <w:qFormat/>
    <w:locked/>
    <w:uiPriority w:val="0"/>
    <w:rPr>
      <w:i/>
    </w:rPr>
  </w:style>
  <w:style w:type="character" w:styleId="31">
    <w:name w:val="Hyperlink"/>
    <w:basedOn w:val="26"/>
    <w:qFormat/>
    <w:uiPriority w:val="0"/>
    <w:rPr>
      <w:color w:val="333333"/>
      <w:u w:val="none"/>
    </w:rPr>
  </w:style>
  <w:style w:type="character" w:styleId="32">
    <w:name w:val="annotation reference"/>
    <w:basedOn w:val="26"/>
    <w:semiHidden/>
    <w:qFormat/>
    <w:uiPriority w:val="0"/>
    <w:rPr>
      <w:sz w:val="21"/>
    </w:rPr>
  </w:style>
  <w:style w:type="character" w:customStyle="1" w:styleId="33">
    <w:name w:val="Comment Text Char"/>
    <w:link w:val="10"/>
    <w:qFormat/>
    <w:locked/>
    <w:uiPriority w:val="0"/>
    <w:rPr>
      <w:rFonts w:ascii="Times New Roman" w:hAnsi="Times New Roman" w:eastAsia="宋体"/>
      <w:sz w:val="24"/>
    </w:rPr>
  </w:style>
  <w:style w:type="character" w:customStyle="1" w:styleId="34">
    <w:name w:val="Body Text Char"/>
    <w:link w:val="11"/>
    <w:qFormat/>
    <w:locked/>
    <w:uiPriority w:val="0"/>
    <w:rPr>
      <w:sz w:val="18"/>
    </w:rPr>
  </w:style>
  <w:style w:type="character" w:customStyle="1" w:styleId="35">
    <w:name w:val="Body Text Indent Char"/>
    <w:basedOn w:val="26"/>
    <w:link w:val="13"/>
    <w:semiHidden/>
    <w:qFormat/>
    <w:locked/>
    <w:uiPriority w:val="0"/>
    <w:rPr>
      <w:rFonts w:ascii="Times New Roman" w:hAnsi="Times New Roman" w:eastAsia="宋体" w:cs="Times New Roman"/>
      <w:sz w:val="24"/>
      <w:szCs w:val="24"/>
    </w:rPr>
  </w:style>
  <w:style w:type="character" w:customStyle="1" w:styleId="36">
    <w:name w:val="Date Char"/>
    <w:link w:val="16"/>
    <w:qFormat/>
    <w:locked/>
    <w:uiPriority w:val="0"/>
    <w:rPr>
      <w:rFonts w:ascii="Times New Roman" w:hAnsi="Times New Roman" w:eastAsia="宋体"/>
      <w:sz w:val="24"/>
    </w:rPr>
  </w:style>
  <w:style w:type="character" w:customStyle="1" w:styleId="37">
    <w:name w:val="Balloon Text Char"/>
    <w:basedOn w:val="26"/>
    <w:link w:val="17"/>
    <w:semiHidden/>
    <w:qFormat/>
    <w:locked/>
    <w:uiPriority w:val="0"/>
    <w:rPr>
      <w:rFonts w:ascii="Times New Roman" w:hAnsi="Times New Roman" w:eastAsia="宋体" w:cs="Times New Roman"/>
      <w:sz w:val="18"/>
      <w:szCs w:val="18"/>
    </w:rPr>
  </w:style>
  <w:style w:type="character" w:customStyle="1" w:styleId="38">
    <w:name w:val="Footer Char"/>
    <w:basedOn w:val="26"/>
    <w:link w:val="18"/>
    <w:qFormat/>
    <w:locked/>
    <w:uiPriority w:val="0"/>
    <w:rPr>
      <w:rFonts w:cs="Times New Roman"/>
      <w:sz w:val="18"/>
      <w:szCs w:val="18"/>
    </w:rPr>
  </w:style>
  <w:style w:type="character" w:customStyle="1" w:styleId="39">
    <w:name w:val="Header Char"/>
    <w:basedOn w:val="26"/>
    <w:link w:val="19"/>
    <w:qFormat/>
    <w:locked/>
    <w:uiPriority w:val="0"/>
    <w:rPr>
      <w:rFonts w:cs="Times New Roman"/>
      <w:sz w:val="18"/>
      <w:szCs w:val="18"/>
    </w:rPr>
  </w:style>
  <w:style w:type="character" w:customStyle="1" w:styleId="40">
    <w:name w:val="Normal (Web) Char"/>
    <w:link w:val="21"/>
    <w:qFormat/>
    <w:locked/>
    <w:uiPriority w:val="0"/>
    <w:rPr>
      <w:rFonts w:ascii="宋体" w:hAnsi="宋体" w:eastAsia="宋体"/>
      <w:sz w:val="24"/>
    </w:rPr>
  </w:style>
  <w:style w:type="character" w:customStyle="1" w:styleId="41">
    <w:name w:val="Comment Subject Char"/>
    <w:basedOn w:val="33"/>
    <w:link w:val="22"/>
    <w:semiHidden/>
    <w:qFormat/>
    <w:locked/>
    <w:uiPriority w:val="0"/>
    <w:rPr>
      <w:rFonts w:cs="Times New Roman"/>
      <w:b/>
      <w:bCs/>
      <w:kern w:val="2"/>
      <w:szCs w:val="24"/>
    </w:rPr>
  </w:style>
  <w:style w:type="character" w:customStyle="1" w:styleId="42">
    <w:name w:val="gwds_nopic1"/>
    <w:basedOn w:val="26"/>
    <w:qFormat/>
    <w:uiPriority w:val="0"/>
  </w:style>
  <w:style w:type="character" w:customStyle="1" w:styleId="43">
    <w:name w:val="gwds_nopic"/>
    <w:basedOn w:val="26"/>
    <w:qFormat/>
    <w:uiPriority w:val="0"/>
  </w:style>
  <w:style w:type="character" w:customStyle="1" w:styleId="44">
    <w:name w:val="批注文字 字符1"/>
    <w:basedOn w:val="26"/>
    <w:semiHidden/>
    <w:qFormat/>
    <w:uiPriority w:val="0"/>
    <w:rPr>
      <w:rFonts w:ascii="Times New Roman" w:hAnsi="Times New Roman" w:eastAsia="宋体" w:cs="Times New Roman"/>
      <w:sz w:val="24"/>
      <w:szCs w:val="24"/>
    </w:rPr>
  </w:style>
  <w:style w:type="character" w:customStyle="1" w:styleId="45">
    <w:name w:val="表格 Char"/>
    <w:link w:val="46"/>
    <w:qFormat/>
    <w:locked/>
    <w:uiPriority w:val="0"/>
    <w:rPr>
      <w:rFonts w:ascii="宋体"/>
      <w:sz w:val="21"/>
    </w:rPr>
  </w:style>
  <w:style w:type="paragraph" w:customStyle="1" w:styleId="46">
    <w:name w:val="表格"/>
    <w:basedOn w:val="15"/>
    <w:next w:val="1"/>
    <w:link w:val="45"/>
    <w:qFormat/>
    <w:uiPriority w:val="0"/>
    <w:pPr>
      <w:adjustRightInd w:val="0"/>
      <w:snapToGrid w:val="0"/>
      <w:spacing w:beforeLines="10" w:afterLines="10" w:line="259" w:lineRule="auto"/>
      <w:jc w:val="center"/>
    </w:pPr>
    <w:rPr>
      <w:rFonts w:ascii="宋体"/>
      <w:kern w:val="0"/>
      <w:sz w:val="20"/>
      <w:szCs w:val="21"/>
    </w:rPr>
  </w:style>
  <w:style w:type="character" w:customStyle="1" w:styleId="47">
    <w:name w:val="普通(网站) Char"/>
    <w:qFormat/>
    <w:locked/>
    <w:uiPriority w:val="0"/>
    <w:rPr>
      <w:rFonts w:ascii="宋体" w:hAnsi="宋体" w:eastAsia="宋体"/>
      <w:sz w:val="24"/>
    </w:rPr>
  </w:style>
  <w:style w:type="character" w:customStyle="1" w:styleId="48">
    <w:name w:val="正文文本 字符1"/>
    <w:basedOn w:val="26"/>
    <w:semiHidden/>
    <w:qFormat/>
    <w:uiPriority w:val="0"/>
    <w:rPr>
      <w:rFonts w:ascii="Times New Roman" w:hAnsi="Times New Roman" w:eastAsia="宋体" w:cs="Times New Roman"/>
      <w:sz w:val="24"/>
      <w:szCs w:val="24"/>
    </w:rPr>
  </w:style>
  <w:style w:type="character" w:customStyle="1" w:styleId="49">
    <w:name w:val="日期 字符"/>
    <w:basedOn w:val="26"/>
    <w:semiHidden/>
    <w:qFormat/>
    <w:uiPriority w:val="0"/>
    <w:rPr>
      <w:rFonts w:ascii="Times New Roman" w:hAnsi="Times New Roman" w:eastAsia="宋体" w:cs="Times New Roman"/>
      <w:sz w:val="24"/>
      <w:szCs w:val="24"/>
    </w:rPr>
  </w:style>
  <w:style w:type="character" w:customStyle="1" w:styleId="50">
    <w:name w:val="gwds_nopic2"/>
    <w:basedOn w:val="26"/>
    <w:qFormat/>
    <w:uiPriority w:val="0"/>
  </w:style>
  <w:style w:type="paragraph" w:customStyle="1" w:styleId="51">
    <w:name w:val="zhang正文"/>
    <w:basedOn w:val="13"/>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rPr>
  </w:style>
  <w:style w:type="paragraph" w:customStyle="1" w:styleId="52">
    <w:name w:val=" Char Char Char Char Char Char Char Char Char Char Char Char Char Char Char Char Char Char"/>
    <w:basedOn w:val="1"/>
    <w:qFormat/>
    <w:uiPriority w:val="0"/>
    <w:rPr>
      <w:sz w:val="24"/>
      <w:szCs w:val="20"/>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报告表正文"/>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56">
    <w:name w:val="表图内容"/>
    <w:next w:val="1"/>
    <w:qFormat/>
    <w:uiPriority w:val="0"/>
    <w:pPr>
      <w:jc w:val="center"/>
    </w:pPr>
    <w:rPr>
      <w:rFonts w:ascii="Times New Roman" w:hAnsi="Times New Roman" w:eastAsia="宋体" w:cs="Times New Roman"/>
      <w:sz w:val="18"/>
      <w:szCs w:val="18"/>
      <w:lang w:val="en-US" w:eastAsia="zh-CN" w:bidi="ar-SA"/>
    </w:rPr>
  </w:style>
  <w:style w:type="paragraph" w:customStyle="1" w:styleId="57">
    <w:name w:val="表头"/>
    <w:basedOn w:val="1"/>
    <w:qFormat/>
    <w:uiPriority w:val="0"/>
    <w:pPr>
      <w:adjustRightInd w:val="0"/>
      <w:snapToGrid w:val="0"/>
      <w:spacing w:line="240" w:lineRule="auto"/>
      <w:ind w:firstLine="0" w:firstLineChars="0"/>
      <w:jc w:val="center"/>
    </w:pPr>
    <w:rPr>
      <w:rFonts w:hint="eastAsia" w:cs="Times New Roman"/>
      <w:b/>
      <w:color w:val="000000"/>
      <w:sz w:val="21"/>
    </w:rPr>
  </w:style>
  <w:style w:type="paragraph" w:customStyle="1" w:styleId="58">
    <w:name w:val="表格内容"/>
    <w:basedOn w:val="1"/>
    <w:link w:val="60"/>
    <w:qFormat/>
    <w:uiPriority w:val="0"/>
    <w:pPr>
      <w:autoSpaceDE w:val="0"/>
      <w:autoSpaceDN w:val="0"/>
      <w:spacing w:line="240" w:lineRule="auto"/>
      <w:ind w:firstLine="0" w:firstLineChars="0"/>
      <w:jc w:val="center"/>
    </w:pPr>
    <w:rPr>
      <w:bCs/>
      <w:color w:val="auto"/>
      <w:kern w:val="0"/>
      <w:sz w:val="21"/>
      <w:szCs w:val="21"/>
    </w:rPr>
  </w:style>
  <w:style w:type="paragraph" w:customStyle="1" w:styleId="59">
    <w:name w:val="报告正文"/>
    <w:qFormat/>
    <w:uiPriority w:val="0"/>
    <w:pPr>
      <w:spacing w:line="360" w:lineRule="auto"/>
      <w:ind w:firstLine="480" w:firstLineChars="200"/>
      <w:jc w:val="both"/>
    </w:pPr>
    <w:rPr>
      <w:rFonts w:ascii="Times New Roman" w:hAnsi="Times New Roman" w:eastAsia="宋体" w:cs="宋体"/>
      <w:bCs/>
      <w:color w:val="000000"/>
      <w:kern w:val="0"/>
      <w:sz w:val="24"/>
      <w:szCs w:val="32"/>
      <w:lang w:val="en-US" w:eastAsia="zh-CN" w:bidi="ar-SA"/>
    </w:rPr>
  </w:style>
  <w:style w:type="character" w:customStyle="1" w:styleId="60">
    <w:name w:val="表格内容 Char"/>
    <w:link w:val="58"/>
    <w:qFormat/>
    <w:uiPriority w:val="0"/>
    <w:rPr>
      <w:bCs/>
      <w:color w:val="auto"/>
      <w:kern w:val="0"/>
      <w:sz w:val="21"/>
      <w:szCs w:val="21"/>
    </w:rPr>
  </w:style>
  <w:style w:type="paragraph" w:customStyle="1" w:styleId="61">
    <w:name w:val="BC-表名"/>
    <w:basedOn w:val="1"/>
    <w:qFormat/>
    <w:uiPriority w:val="0"/>
    <w:pPr>
      <w:spacing w:line="240" w:lineRule="auto"/>
      <w:ind w:firstLine="0" w:firstLineChars="0"/>
      <w:jc w:val="center"/>
    </w:pPr>
    <w:rPr>
      <w:b/>
      <w:kern w:val="10"/>
      <w:sz w:val="21"/>
    </w:rPr>
  </w:style>
  <w:style w:type="paragraph" w:customStyle="1" w:styleId="62">
    <w:name w:val="BC-表格文字"/>
    <w:basedOn w:val="1"/>
    <w:next w:val="1"/>
    <w:qFormat/>
    <w:uiPriority w:val="0"/>
    <w:pPr>
      <w:adjustRightInd w:val="0"/>
      <w:snapToGrid w:val="0"/>
      <w:spacing w:line="240" w:lineRule="auto"/>
      <w:ind w:firstLine="0" w:firstLineChars="0"/>
      <w:jc w:val="center"/>
    </w:pPr>
    <w:rPr>
      <w:rFonts w:ascii="Times New Roman" w:hAnsi="Times New Roman" w:eastAsia="宋体" w:cs="Times New Roman"/>
      <w:sz w:val="21"/>
      <w:szCs w:val="21"/>
    </w:rPr>
  </w:style>
  <w:style w:type="paragraph" w:customStyle="1" w:styleId="63">
    <w:name w:val="Table Paragraph"/>
    <w:basedOn w:val="1"/>
    <w:qFormat/>
    <w:uiPriority w:val="0"/>
    <w:pPr>
      <w:jc w:val="left"/>
    </w:pPr>
    <w:rPr>
      <w:rFonts w:ascii="Calibri" w:hAnsi="Calibri"/>
      <w:kern w:val="0"/>
      <w:sz w:val="22"/>
      <w:szCs w:val="22"/>
      <w:lang w:eastAsia="en-US"/>
    </w:rPr>
  </w:style>
  <w:style w:type="paragraph" w:styleId="64">
    <w:name w:val="List Paragraph"/>
    <w:basedOn w:val="1"/>
    <w:qFormat/>
    <w:uiPriority w:val="0"/>
    <w:pPr>
      <w:ind w:firstLine="200" w:firstLineChars="200"/>
    </w:pPr>
  </w:style>
  <w:style w:type="paragraph" w:customStyle="1" w:styleId="65">
    <w:name w:val="正文getiao"/>
    <w:basedOn w:val="1"/>
    <w:qFormat/>
    <w:uiPriority w:val="0"/>
    <w:pPr>
      <w:ind w:firstLine="0" w:firstLineChars="0"/>
    </w:pPr>
    <w:rPr>
      <w:szCs w:val="28"/>
    </w:rPr>
  </w:style>
  <w:style w:type="paragraph" w:customStyle="1" w:styleId="66">
    <w:name w:val="表图标题"/>
    <w:next w:val="56"/>
    <w:qFormat/>
    <w:uiPriority w:val="0"/>
    <w:pPr>
      <w:jc w:val="center"/>
    </w:pPr>
    <w:rPr>
      <w:rFonts w:ascii="Times New Roman" w:hAnsi="Times New Roman" w:eastAsia="宋体" w:cs="Times New Roman"/>
      <w:b/>
      <w:bCs/>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emf"/><Relationship Id="rId27" Type="http://schemas.openxmlformats.org/officeDocument/2006/relationships/oleObject" Target="embeddings/oleObject6.bin"/><Relationship Id="rId26" Type="http://schemas.openxmlformats.org/officeDocument/2006/relationships/image" Target="media/image13.emf"/><Relationship Id="rId25" Type="http://schemas.openxmlformats.org/officeDocument/2006/relationships/oleObject" Target="embeddings/oleObject5.bin"/><Relationship Id="rId24" Type="http://schemas.openxmlformats.org/officeDocument/2006/relationships/image" Target="media/image12.emf"/><Relationship Id="rId23" Type="http://schemas.openxmlformats.org/officeDocument/2006/relationships/oleObject" Target="embeddings/oleObject4.bin"/><Relationship Id="rId22" Type="http://schemas.openxmlformats.org/officeDocument/2006/relationships/image" Target="media/image11.emf"/><Relationship Id="rId21" Type="http://schemas.openxmlformats.org/officeDocument/2006/relationships/oleObject" Target="embeddings/oleObject3.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e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Y4NTY3NzAxNDkyIiwKCSJHcm91cElkIiA6ICI1ODcyNjA3NDYiLAoJIkltYWdlIiA6ICJpVkJPUncwS0dnb0FBQUFOU1VoRVVnQUFCRndBQUFIc0NBWUFBQUR2aTdrYkFBQUFBWE5TUjBJQXJzNGM2UUFBSUFCSlJFRlVlSnpzM1hsNFU4WDZCL0R2bkNUZE4wclpLeFJrRjRHbTdJaUlJcmdnQ05lTHNva0w0SUtnUDNCQlFSYjFBbDVVUUVSUUx6dEYzRkJBVWVFcVFoV1F0V1hmS2JTVVFoZTZOMG1UTTc4L2FIS1RKdDFvYWJwOFA4L2owMlJtenVROXNSMXkzc3laQV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S1AvQndIcmFhS0hJTTVJQUFBQUFFbEZUa1N1UW1DQyIsCgkiVGhlbWUiIDogIiIsCgkiVHlwZSIgOiAiZmxvdyIsCgkiVXNlcklkIiA6ICI0NjIxOTM4NTQiLAoJIlZlcnNpb24iIDogIjU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126</Pages>
  <Words>103460</Words>
  <Characters>112605</Characters>
  <Lines>9</Lines>
  <Paragraphs>2</Paragraphs>
  <TotalTime>5</TotalTime>
  <ScaleCrop>false</ScaleCrop>
  <LinksUpToDate>false</LinksUpToDate>
  <CharactersWithSpaces>113437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春晓的晓</cp:lastModifiedBy>
  <cp:lastPrinted>2025-12-02T03:25:00Z</cp:lastPrinted>
  <dcterms:modified xsi:type="dcterms:W3CDTF">2026-05-15T01:43:25Z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EBE8D6753C9C4682A353F7E021A2100E_13</vt:lpwstr>
  </property>
  <property fmtid="{D5CDD505-2E9C-101B-9397-08002B2CF9AE}" pid="4" name="KSOTemplateDocerSaveRecord">
    <vt:lpwstr>eyJoZGlkIjoiY2RjNDExM2NjNjc3NTBmMzZkNTc3NzE4MWMxZDhjZDUiLCJ1c2VySWQiOiI1Njg4MjQzODkifQ==</vt:lpwstr>
  </property>
</Properties>
</file>